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80" w:lineRule="atLeast"/>
        <w:jc w:val="center"/>
        <w:rPr>
          <w:rFonts w:ascii="宋体" w:hAnsi="宋体"/>
          <w:color w:val="000000" w:themeColor="text1"/>
          <w:sz w:val="44"/>
          <w:szCs w:val="44"/>
        </w:rPr>
      </w:pPr>
      <w:r>
        <w:rPr>
          <w:rFonts w:hint="eastAsia" w:ascii="宋体" w:hAnsi="宋体"/>
          <w:sz w:val="44"/>
          <w:szCs w:val="44"/>
        </w:rPr>
        <w:t>2019年</w:t>
      </w:r>
      <w:r>
        <w:rPr>
          <w:rFonts w:hint="eastAsia" w:ascii="宋体" w:hAnsi="宋体"/>
          <w:color w:val="000000" w:themeColor="text1"/>
          <w:sz w:val="44"/>
          <w:szCs w:val="44"/>
        </w:rPr>
        <w:t>市纪委监委</w:t>
      </w:r>
    </w:p>
    <w:p>
      <w:pPr>
        <w:widowControl/>
        <w:spacing w:line="580" w:lineRule="atLeast"/>
        <w:jc w:val="center"/>
        <w:rPr>
          <w:rFonts w:ascii="仿宋_GB2312" w:hAnsi="宋体" w:eastAsia="仿宋_GB2312" w:cs="宋体"/>
          <w:kern w:val="0"/>
          <w:sz w:val="44"/>
          <w:szCs w:val="44"/>
        </w:rPr>
      </w:pPr>
      <w:r>
        <w:rPr>
          <w:rFonts w:hint="eastAsia" w:ascii="仿宋_GB2312" w:hAnsi="宋体" w:eastAsia="仿宋_GB2312" w:cs="宋体"/>
          <w:kern w:val="0"/>
          <w:sz w:val="44"/>
          <w:szCs w:val="44"/>
        </w:rPr>
        <w:t>部门预算公开有关事项的说明</w:t>
      </w:r>
    </w:p>
    <w:p>
      <w:pPr>
        <w:widowControl/>
        <w:spacing w:line="580" w:lineRule="atLeast"/>
        <w:jc w:val="center"/>
        <w:rPr>
          <w:rFonts w:ascii="仿宋_GB2312" w:hAnsi="宋体" w:eastAsia="仿宋_GB2312" w:cs="宋体"/>
          <w:kern w:val="0"/>
          <w:sz w:val="44"/>
          <w:szCs w:val="44"/>
        </w:rPr>
      </w:pPr>
    </w:p>
    <w:p>
      <w:pPr>
        <w:widowControl/>
        <w:shd w:val="clear" w:color="auto" w:fill="FFFFFF"/>
        <w:spacing w:line="580" w:lineRule="exact"/>
        <w:ind w:firstLine="640" w:firstLineChars="200"/>
        <w:jc w:val="left"/>
        <w:rPr>
          <w:rFonts w:ascii="宋体" w:hAnsi="宋体" w:cs="宋体"/>
          <w:kern w:val="0"/>
          <w:sz w:val="24"/>
          <w:szCs w:val="24"/>
        </w:rPr>
      </w:pPr>
      <w:r>
        <w:rPr>
          <w:rFonts w:hint="eastAsia" w:ascii="黑体" w:hAnsi="黑体" w:eastAsia="黑体" w:cs="宋体"/>
          <w:kern w:val="0"/>
          <w:sz w:val="32"/>
          <w:szCs w:val="32"/>
        </w:rPr>
        <w:t>一、部门职责、机构设置等基本情况</w:t>
      </w:r>
    </w:p>
    <w:p>
      <w:pPr>
        <w:widowControl/>
        <w:spacing w:line="580" w:lineRule="exact"/>
        <w:ind w:firstLine="643" w:firstLineChars="200"/>
        <w:jc w:val="left"/>
        <w:rPr>
          <w:rFonts w:ascii="仿宋_GB2312" w:hAnsi="宋体" w:eastAsia="仿宋_GB2312" w:cs="宋体"/>
          <w:b/>
          <w:kern w:val="0"/>
          <w:sz w:val="32"/>
          <w:szCs w:val="32"/>
        </w:rPr>
      </w:pPr>
      <w:r>
        <w:rPr>
          <w:rFonts w:hint="eastAsia" w:ascii="仿宋_GB2312" w:hAnsi="宋体" w:eastAsia="仿宋_GB2312" w:cs="宋体"/>
          <w:b/>
          <w:kern w:val="0"/>
          <w:sz w:val="32"/>
          <w:szCs w:val="32"/>
        </w:rPr>
        <w:t>部门职责</w:t>
      </w:r>
    </w:p>
    <w:p>
      <w:pPr>
        <w:widowControl/>
        <w:spacing w:line="580" w:lineRule="exact"/>
        <w:ind w:firstLine="640" w:firstLineChars="200"/>
        <w:jc w:val="left"/>
        <w:rPr>
          <w:rFonts w:ascii="仿宋_GB2312" w:hAnsi="宋体" w:eastAsia="仿宋_GB2312" w:cs="宋体"/>
          <w:kern w:val="0"/>
          <w:sz w:val="32"/>
          <w:szCs w:val="32"/>
        </w:rPr>
      </w:pPr>
      <w:r>
        <w:rPr>
          <w:rFonts w:hint="eastAsia" w:ascii="仿宋_GB2312" w:hAnsi="Times New Roman" w:eastAsia="仿宋_GB2312"/>
          <w:kern w:val="0"/>
          <w:sz w:val="32"/>
          <w:szCs w:val="32"/>
        </w:rPr>
        <w:t xml:space="preserve"> 1</w:t>
      </w:r>
      <w:r>
        <w:rPr>
          <w:rFonts w:hint="eastAsia" w:ascii="仿宋_GB2312" w:hAnsi="宋体" w:eastAsia="仿宋_GB2312" w:cs="宋体"/>
          <w:kern w:val="0"/>
          <w:sz w:val="32"/>
          <w:szCs w:val="32"/>
        </w:rPr>
        <w:t>、负责全市党的纪律检查工作。负责贯彻落实党中央、中纪委、省委、省纪委和定州市委关于加强党风廉政建设的决定；按照中央确定的党风廉政建设的领导体制和工作机制，对全市党风廉政建设和反腐败斗争作出部署，对各项任务组织协调，并负责对完成情况进行监督检查；维护党的章程和其它党内法规；监督检查党的路线、方针、政策和决议的执行情况。</w:t>
      </w:r>
    </w:p>
    <w:p>
      <w:pPr>
        <w:widowControl/>
        <w:shd w:val="clear" w:color="auto" w:fill="FFFFFF"/>
        <w:spacing w:line="58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2、负责全市行政监察工作。负责贯彻落实党中央、国务院和省、市有关行政监察工作的决定；监督检查市政府各部门及其工作人员和各乡（镇）人民政府、城区办事处及其主要负责人执行国家及省、市的政策、法律、法规、国民经济和社会发展计划，国务院和省、市政府颁发的决议和命令的执行情况。</w:t>
      </w:r>
    </w:p>
    <w:p>
      <w:pPr>
        <w:widowControl/>
        <w:shd w:val="clear" w:color="auto" w:fill="FFFFFF"/>
        <w:spacing w:line="58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3、负责检查并处理市委、市政府机关各部门、各乡镇办党的组织和市委管理的党员领导干部违反党的章程及党内法规的案件，决定和取消对这些案件中的党员的处分；受理党员的控告和申诉，必要时直接查处下级党的纪律检查机关管辖范围内的比较重要或复杂的案件；变更或撤销乡级及其以下纪律检查机关不适当的决定和规定。</w:t>
      </w:r>
    </w:p>
    <w:p>
      <w:pPr>
        <w:widowControl/>
        <w:shd w:val="clear" w:color="auto" w:fill="FFFFFF"/>
        <w:spacing w:line="58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4、负责调查处理市政府各部门及其工作人员和乡（镇）人民政府、城区办事处及其主要负责人违反国家政策、法规及违反政纪的行为，并根据责任人所犯错误的情节轻重，按有关程序提出处分建议或按市政府授权直接给予行政处分；受理监察对象不服政纪处分的申诉；受理个人或单位对监察对象违纪行为的检举、控告。</w:t>
      </w:r>
    </w:p>
    <w:p>
      <w:pPr>
        <w:widowControl/>
        <w:shd w:val="clear" w:color="auto" w:fill="FFFFFF"/>
        <w:spacing w:line="58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5、承担市政府纠正部门和行业不正之风职责，负责减轻企业负担、减轻农民负担、治理公路“三乱”、中小学乱收费、收支两条线工作。</w:t>
      </w:r>
    </w:p>
    <w:p>
      <w:pPr>
        <w:widowControl/>
        <w:shd w:val="clear" w:color="auto" w:fill="FFFFFF"/>
        <w:spacing w:line="58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6、负责对全市各级各部门财经纪律执行情况的检查监督、查处违反财经纪律的案件。</w:t>
      </w:r>
    </w:p>
    <w:p>
      <w:pPr>
        <w:widowControl/>
        <w:shd w:val="clear" w:color="auto" w:fill="FFFFFF"/>
        <w:spacing w:line="58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7、负责做出关于维护党纪、政纪的决定；制定全市党风廉政教育规划；宣传党的纪检监察工作方针、政策，教育国家工作人员遵纪守法，为政清廉。</w:t>
      </w:r>
    </w:p>
    <w:p>
      <w:pPr>
        <w:widowControl/>
        <w:shd w:val="clear" w:color="auto" w:fill="FFFFFF"/>
        <w:spacing w:line="58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8、调查研究市政府各部门和各乡（镇）人民政府、城区办事处制定的有关政策、规定情况，对其违反国家法律和有损国家利益的条款提出修改、补充的建议；变更或撤销乡（科）级以下不适当的决定和规定。</w:t>
      </w:r>
    </w:p>
    <w:p>
      <w:pPr>
        <w:widowControl/>
        <w:shd w:val="clear" w:color="auto" w:fill="FFFFFF"/>
        <w:spacing w:line="58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9、会同有关组织部门做好全市纪检监察系统干部的管理工作，审核乡（科）级纪委（纪检组）、监察室领导干部人选；会同组织部门管理乡（科）级纪委书记（纪检组长），负责乡（科）级纪委（纪检组）和监察室其他领导干部的任免工作；指导乡（科）级纪委领导班子换届选举工作；组织和指导全市纪检监察干部的培训工作。</w:t>
      </w:r>
    </w:p>
    <w:p>
      <w:pPr>
        <w:widowControl/>
        <w:shd w:val="clear" w:color="auto" w:fill="FFFFFF"/>
        <w:spacing w:line="58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10、负责对党的纪律检查、行政监察工作理论及有关问题进行调查研究。</w:t>
      </w:r>
    </w:p>
    <w:p>
      <w:pPr>
        <w:widowControl/>
        <w:shd w:val="clear" w:color="auto" w:fill="FFFFFF"/>
        <w:spacing w:line="58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11、承办中纪委、监察委、省纪委、省监察委及市委、市政府授权和交办的其他事项。</w:t>
      </w:r>
    </w:p>
    <w:p>
      <w:pPr>
        <w:snapToGrid w:val="0"/>
        <w:spacing w:line="520" w:lineRule="exact"/>
        <w:ind w:firstLine="643" w:firstLineChars="200"/>
        <w:rPr>
          <w:rFonts w:ascii="仿宋_GB2312" w:hAnsi="仿宋" w:eastAsia="仿宋_GB2312"/>
          <w:b/>
          <w:sz w:val="32"/>
          <w:szCs w:val="32"/>
        </w:rPr>
      </w:pPr>
      <w:r>
        <w:rPr>
          <w:rFonts w:hint="eastAsia" w:ascii="仿宋_GB2312" w:hAnsi="仿宋" w:eastAsia="仿宋_GB2312"/>
          <w:b/>
          <w:sz w:val="32"/>
          <w:szCs w:val="32"/>
        </w:rPr>
        <w:t>机构设置</w:t>
      </w:r>
    </w:p>
    <w:p>
      <w:pPr>
        <w:snapToGrid w:val="0"/>
        <w:spacing w:line="520" w:lineRule="exact"/>
        <w:ind w:left="420" w:leftChars="200"/>
        <w:rPr>
          <w:rFonts w:ascii="仿宋_GB2312" w:hAnsi="仿宋" w:eastAsia="仿宋_GB2312"/>
          <w:sz w:val="32"/>
          <w:szCs w:val="32"/>
        </w:rPr>
      </w:pPr>
      <w:r>
        <w:rPr>
          <w:rFonts w:hint="eastAsia" w:ascii="仿宋_GB2312" w:hAnsi="仿宋" w:eastAsia="仿宋_GB2312"/>
          <w:sz w:val="32"/>
          <w:szCs w:val="32"/>
        </w:rPr>
        <w:t>中国共产党河北省定州市纪律检查委员会为共产党机关，</w:t>
      </w:r>
    </w:p>
    <w:p>
      <w:pPr>
        <w:snapToGrid w:val="0"/>
        <w:spacing w:line="520" w:lineRule="exact"/>
        <w:rPr>
          <w:rFonts w:ascii="仿宋_GB2312" w:hAnsi="仿宋" w:eastAsia="仿宋_GB2312"/>
          <w:sz w:val="32"/>
          <w:szCs w:val="32"/>
        </w:rPr>
      </w:pPr>
      <w:r>
        <w:rPr>
          <w:rFonts w:hint="eastAsia" w:ascii="仿宋_GB2312" w:hAnsi="仿宋" w:eastAsia="仿宋_GB2312"/>
          <w:sz w:val="32"/>
          <w:szCs w:val="32"/>
        </w:rPr>
        <w:t>全额财政拨款单位，负责党的纪律审查和行政监察工作，设</w:t>
      </w:r>
      <w:r>
        <w:rPr>
          <w:rFonts w:ascii="仿宋_GB2312" w:hAnsi="仿宋" w:eastAsia="仿宋_GB2312"/>
          <w:sz w:val="32"/>
          <w:szCs w:val="32"/>
        </w:rPr>
        <w:t>15</w:t>
      </w:r>
      <w:r>
        <w:rPr>
          <w:rFonts w:hint="eastAsia" w:ascii="仿宋_GB2312" w:hAnsi="仿宋" w:eastAsia="仿宋_GB2312"/>
          <w:sz w:val="32"/>
          <w:szCs w:val="32"/>
        </w:rPr>
        <w:t>个内设机构，办公室、党风政风监督室、信访室、案件监督管理室、第一至第六监督检查室、第七至九审查调查室、案件审理室及纪检监察干部监督室。行政机关编制101名，2018年年末实有人数121人。</w:t>
      </w:r>
    </w:p>
    <w:p>
      <w:pPr>
        <w:snapToGrid w:val="0"/>
        <w:spacing w:line="520" w:lineRule="exact"/>
        <w:jc w:val="center"/>
        <w:rPr>
          <w:rFonts w:ascii="仿宋_GB2312" w:hAnsi="仿宋" w:eastAsia="仿宋_GB2312"/>
          <w:b/>
          <w:bCs/>
          <w:sz w:val="44"/>
          <w:szCs w:val="44"/>
        </w:rPr>
      </w:pPr>
      <w:r>
        <w:rPr>
          <w:rFonts w:hint="eastAsia" w:ascii="仿宋_GB2312" w:hAnsi="仿宋" w:eastAsia="仿宋_GB2312"/>
          <w:b/>
          <w:bCs/>
          <w:sz w:val="44"/>
          <w:szCs w:val="44"/>
        </w:rPr>
        <w:t>部门基本情况表</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pPr>
              <w:snapToGrid w:val="0"/>
              <w:spacing w:line="520" w:lineRule="exact"/>
              <w:rPr>
                <w:rFonts w:ascii="仿宋_GB2312" w:hAnsi="仿宋" w:eastAsia="仿宋_GB2312"/>
                <w:sz w:val="32"/>
                <w:szCs w:val="32"/>
              </w:rPr>
            </w:pPr>
            <w:r>
              <w:rPr>
                <w:rFonts w:hint="eastAsia" w:ascii="仿宋_GB2312" w:hAnsi="仿宋" w:eastAsia="仿宋_GB2312"/>
                <w:sz w:val="32"/>
                <w:szCs w:val="32"/>
              </w:rPr>
              <w:t>单位名称</w:t>
            </w:r>
          </w:p>
        </w:tc>
        <w:tc>
          <w:tcPr>
            <w:tcW w:w="2130" w:type="dxa"/>
          </w:tcPr>
          <w:p>
            <w:pPr>
              <w:snapToGrid w:val="0"/>
              <w:spacing w:line="520" w:lineRule="exact"/>
              <w:rPr>
                <w:rFonts w:ascii="仿宋_GB2312" w:hAnsi="仿宋" w:eastAsia="仿宋_GB2312"/>
                <w:sz w:val="32"/>
                <w:szCs w:val="32"/>
              </w:rPr>
            </w:pPr>
            <w:r>
              <w:rPr>
                <w:rFonts w:hint="eastAsia" w:ascii="仿宋_GB2312" w:hAnsi="仿宋" w:eastAsia="仿宋_GB2312"/>
                <w:sz w:val="32"/>
                <w:szCs w:val="32"/>
              </w:rPr>
              <w:t>单位性质</w:t>
            </w:r>
          </w:p>
        </w:tc>
        <w:tc>
          <w:tcPr>
            <w:tcW w:w="2131" w:type="dxa"/>
          </w:tcPr>
          <w:p>
            <w:pPr>
              <w:snapToGrid w:val="0"/>
              <w:spacing w:line="520" w:lineRule="exact"/>
              <w:rPr>
                <w:rFonts w:ascii="仿宋_GB2312" w:hAnsi="仿宋" w:eastAsia="仿宋_GB2312"/>
                <w:sz w:val="32"/>
                <w:szCs w:val="32"/>
              </w:rPr>
            </w:pPr>
            <w:r>
              <w:rPr>
                <w:rFonts w:hint="eastAsia" w:ascii="仿宋_GB2312" w:hAnsi="仿宋" w:eastAsia="仿宋_GB2312"/>
                <w:sz w:val="32"/>
                <w:szCs w:val="32"/>
              </w:rPr>
              <w:t>单位规格</w:t>
            </w:r>
          </w:p>
        </w:tc>
        <w:tc>
          <w:tcPr>
            <w:tcW w:w="2131" w:type="dxa"/>
          </w:tcPr>
          <w:p>
            <w:pPr>
              <w:snapToGrid w:val="0"/>
              <w:spacing w:line="520" w:lineRule="exact"/>
              <w:rPr>
                <w:rFonts w:ascii="仿宋_GB2312" w:hAnsi="仿宋" w:eastAsia="仿宋_GB2312"/>
                <w:sz w:val="32"/>
                <w:szCs w:val="32"/>
              </w:rPr>
            </w:pPr>
            <w:r>
              <w:rPr>
                <w:rFonts w:hint="eastAsia" w:ascii="仿宋_GB2312" w:hAnsi="仿宋" w:eastAsia="仿宋_GB2312"/>
                <w:sz w:val="30"/>
                <w:szCs w:val="30"/>
              </w:rPr>
              <w:t>经费保障形式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pPr>
              <w:snapToGrid w:val="0"/>
              <w:spacing w:line="520" w:lineRule="exact"/>
              <w:rPr>
                <w:rFonts w:ascii="仿宋_GB2312" w:hAnsi="仿宋" w:eastAsia="仿宋_GB2312"/>
                <w:sz w:val="32"/>
                <w:szCs w:val="32"/>
              </w:rPr>
            </w:pPr>
            <w:r>
              <w:rPr>
                <w:rFonts w:hint="eastAsia" w:ascii="仿宋_GB2312" w:hAnsi="仿宋" w:eastAsia="仿宋_GB2312"/>
                <w:sz w:val="32"/>
                <w:szCs w:val="32"/>
              </w:rPr>
              <w:t>定州市纪委</w:t>
            </w:r>
          </w:p>
        </w:tc>
        <w:tc>
          <w:tcPr>
            <w:tcW w:w="2130" w:type="dxa"/>
          </w:tcPr>
          <w:p>
            <w:pPr>
              <w:snapToGrid w:val="0"/>
              <w:spacing w:line="520" w:lineRule="exact"/>
              <w:rPr>
                <w:rFonts w:ascii="仿宋_GB2312" w:hAnsi="仿宋" w:eastAsia="仿宋_GB2312"/>
                <w:sz w:val="32"/>
                <w:szCs w:val="32"/>
              </w:rPr>
            </w:pPr>
            <w:r>
              <w:rPr>
                <w:rFonts w:hint="eastAsia" w:ascii="仿宋_GB2312" w:hAnsi="仿宋" w:eastAsia="仿宋_GB2312"/>
                <w:sz w:val="32"/>
                <w:szCs w:val="32"/>
              </w:rPr>
              <w:t>行政</w:t>
            </w:r>
          </w:p>
        </w:tc>
        <w:tc>
          <w:tcPr>
            <w:tcW w:w="2131" w:type="dxa"/>
          </w:tcPr>
          <w:p>
            <w:pPr>
              <w:snapToGrid w:val="0"/>
              <w:spacing w:line="520" w:lineRule="exact"/>
              <w:rPr>
                <w:rFonts w:ascii="仿宋_GB2312" w:hAnsi="仿宋" w:eastAsia="仿宋_GB2312"/>
                <w:sz w:val="32"/>
                <w:szCs w:val="32"/>
              </w:rPr>
            </w:pPr>
            <w:r>
              <w:rPr>
                <w:rFonts w:hint="eastAsia" w:ascii="仿宋_GB2312" w:hAnsi="仿宋" w:eastAsia="仿宋_GB2312"/>
                <w:sz w:val="32"/>
                <w:szCs w:val="32"/>
              </w:rPr>
              <w:t>正处级</w:t>
            </w:r>
          </w:p>
        </w:tc>
        <w:tc>
          <w:tcPr>
            <w:tcW w:w="2131" w:type="dxa"/>
          </w:tcPr>
          <w:p>
            <w:pPr>
              <w:snapToGrid w:val="0"/>
              <w:spacing w:line="520" w:lineRule="exact"/>
              <w:rPr>
                <w:rFonts w:ascii="仿宋_GB2312" w:hAnsi="仿宋" w:eastAsia="仿宋_GB2312"/>
                <w:sz w:val="32"/>
                <w:szCs w:val="32"/>
              </w:rPr>
            </w:pPr>
            <w:r>
              <w:rPr>
                <w:rFonts w:hint="eastAsia" w:ascii="仿宋_GB2312" w:hAnsi="仿宋" w:eastAsia="仿宋_GB2312"/>
                <w:sz w:val="32"/>
                <w:szCs w:val="32"/>
              </w:rPr>
              <w:t>财政拨款</w:t>
            </w:r>
          </w:p>
        </w:tc>
      </w:tr>
    </w:tbl>
    <w:p>
      <w:pPr>
        <w:snapToGrid w:val="0"/>
        <w:spacing w:line="520" w:lineRule="exact"/>
        <w:rPr>
          <w:rFonts w:ascii="仿宋_GB2312" w:hAnsi="仿宋" w:eastAsia="仿宋_GB2312"/>
          <w:sz w:val="32"/>
          <w:szCs w:val="32"/>
        </w:rPr>
      </w:pPr>
    </w:p>
    <w:p>
      <w:pPr>
        <w:widowControl/>
        <w:shd w:val="clear" w:color="auto" w:fill="FFFFFF"/>
        <w:spacing w:line="580" w:lineRule="exact"/>
        <w:ind w:firstLine="640" w:firstLineChars="200"/>
        <w:jc w:val="left"/>
        <w:rPr>
          <w:rFonts w:ascii="宋体" w:hAnsi="宋体" w:cs="宋体"/>
          <w:kern w:val="0"/>
          <w:sz w:val="24"/>
          <w:szCs w:val="24"/>
        </w:rPr>
      </w:pPr>
      <w:r>
        <w:rPr>
          <w:rFonts w:hint="eastAsia" w:ascii="黑体" w:hAnsi="黑体" w:eastAsia="黑体" w:cs="宋体"/>
          <w:kern w:val="0"/>
          <w:sz w:val="32"/>
          <w:szCs w:val="32"/>
        </w:rPr>
        <w:t>二、部门预算安排总体情况</w:t>
      </w:r>
    </w:p>
    <w:p>
      <w:pPr>
        <w:widowControl/>
        <w:shd w:val="clear" w:color="auto" w:fill="FFFFFF"/>
        <w:spacing w:line="580" w:lineRule="exact"/>
        <w:ind w:firstLine="640" w:firstLineChars="200"/>
        <w:jc w:val="left"/>
        <w:rPr>
          <w:rFonts w:ascii="仿宋_GB2312" w:hAnsi="Times New Roman" w:eastAsia="仿宋_GB2312"/>
          <w:kern w:val="0"/>
          <w:sz w:val="32"/>
          <w:szCs w:val="32"/>
        </w:rPr>
      </w:pPr>
      <w:r>
        <w:rPr>
          <w:rFonts w:hint="eastAsia" w:ascii="仿宋_GB2312" w:hAnsi="Times New Roman" w:eastAsia="仿宋_GB2312"/>
          <w:kern w:val="0"/>
          <w:sz w:val="32"/>
          <w:szCs w:val="32"/>
        </w:rPr>
        <w:t>1、部门预算总体收入1860.95万元，其中财政拨款1860.95万元（一般公共预算收入1860.95万元、政府性基金0万元、国有资本经营预算安排的包括收入0万元）、上级补助收入0万元、事业收入0万元、经营收入0万元、附属单位上缴收入0万元、其他收入0万元。  </w:t>
      </w:r>
    </w:p>
    <w:p>
      <w:pPr>
        <w:widowControl/>
        <w:shd w:val="clear" w:color="auto" w:fill="FFFFFF"/>
        <w:spacing w:line="580" w:lineRule="exact"/>
        <w:ind w:firstLine="640" w:firstLineChars="200"/>
        <w:jc w:val="left"/>
        <w:rPr>
          <w:rFonts w:ascii="仿宋_GB2312" w:hAnsi="Times New Roman" w:eastAsia="仿宋_GB2312"/>
          <w:kern w:val="0"/>
          <w:sz w:val="32"/>
          <w:szCs w:val="32"/>
        </w:rPr>
      </w:pPr>
      <w:r>
        <w:rPr>
          <w:rFonts w:hint="eastAsia" w:ascii="仿宋_GB2312" w:hAnsi="Times New Roman" w:eastAsia="仿宋_GB2312"/>
          <w:kern w:val="0"/>
          <w:sz w:val="32"/>
          <w:szCs w:val="32"/>
        </w:rPr>
        <w:t>2、部门安排支出1860.95万元，其中基本支出1528.95万元、项目支出332万元、上缴上级支出0万元、经营支出0万元、对附属单位补助支出0万元。</w:t>
      </w:r>
    </w:p>
    <w:p>
      <w:pPr>
        <w:widowControl/>
        <w:shd w:val="clear" w:color="auto" w:fill="FFFFFF"/>
        <w:spacing w:line="580" w:lineRule="exact"/>
        <w:ind w:firstLine="640" w:firstLineChars="200"/>
        <w:jc w:val="left"/>
        <w:rPr>
          <w:rFonts w:ascii="仿宋_GB2312" w:hAnsi="Times New Roman" w:eastAsia="仿宋_GB2312"/>
          <w:kern w:val="0"/>
          <w:sz w:val="32"/>
          <w:szCs w:val="32"/>
        </w:rPr>
      </w:pPr>
      <w:r>
        <w:rPr>
          <w:rFonts w:hint="eastAsia" w:ascii="仿宋_GB2312" w:hAnsi="Times New Roman" w:eastAsia="仿宋_GB2312"/>
          <w:kern w:val="0"/>
          <w:sz w:val="32"/>
          <w:szCs w:val="32"/>
        </w:rPr>
        <w:t>3、增减变化情况：相比2018年总预算拨款增加576.38万元，增加原因：检察院转隶人员工资划入我部门，人员经费增加、专项项目增加。</w:t>
      </w:r>
    </w:p>
    <w:p>
      <w:pPr>
        <w:widowControl/>
        <w:shd w:val="clear" w:color="auto" w:fill="FFFFFF"/>
        <w:spacing w:line="580" w:lineRule="exact"/>
        <w:ind w:firstLine="640" w:firstLineChars="200"/>
        <w:jc w:val="left"/>
        <w:rPr>
          <w:rFonts w:ascii="宋体" w:hAnsi="宋体" w:cs="宋体"/>
          <w:kern w:val="0"/>
          <w:sz w:val="24"/>
          <w:szCs w:val="24"/>
        </w:rPr>
      </w:pPr>
      <w:r>
        <w:rPr>
          <w:rFonts w:hint="eastAsia" w:ascii="黑体" w:hAnsi="黑体" w:eastAsia="黑体" w:cs="宋体"/>
          <w:kern w:val="0"/>
          <w:sz w:val="32"/>
          <w:szCs w:val="32"/>
        </w:rPr>
        <w:t>三、机关运行经费安排情况</w:t>
      </w:r>
    </w:p>
    <w:p>
      <w:pPr>
        <w:widowControl/>
        <w:shd w:val="clear" w:color="auto" w:fill="FFFFFF"/>
        <w:spacing w:line="580" w:lineRule="exact"/>
        <w:ind w:firstLine="640" w:firstLineChars="200"/>
        <w:jc w:val="left"/>
        <w:rPr>
          <w:rFonts w:ascii="仿宋_GB2312" w:hAnsi="Times New Roman" w:eastAsia="仿宋_GB2312"/>
          <w:kern w:val="0"/>
          <w:sz w:val="32"/>
          <w:szCs w:val="32"/>
        </w:rPr>
      </w:pPr>
      <w:r>
        <w:rPr>
          <w:rFonts w:hint="eastAsia" w:ascii="仿宋_GB2312" w:hAnsi="Times New Roman" w:eastAsia="仿宋_GB2312"/>
          <w:kern w:val="0"/>
          <w:sz w:val="32"/>
          <w:szCs w:val="32"/>
        </w:rPr>
        <w:t>我部门机关运行经费170.6万元，其中：办公费18.17万元、印刷费1.21万元、邮电费6.05万元、差旅费8.47万元、会议费2.42万元、培训费1.21万元、福利费10.38万元、工会费7.29万元、办公用房水费0.95万元、电费9.55万元、办公用房取暖费6.80万元、公务接待费2.70万元、公务用车运行维护费21.60万元、公务交通补贴73.8万元。</w:t>
      </w:r>
    </w:p>
    <w:p>
      <w:pPr>
        <w:widowControl/>
        <w:shd w:val="clear" w:color="auto" w:fill="FFFFFF"/>
        <w:spacing w:line="580" w:lineRule="exact"/>
        <w:ind w:firstLine="640" w:firstLineChars="200"/>
        <w:jc w:val="left"/>
        <w:rPr>
          <w:rFonts w:ascii="宋体" w:hAnsi="宋体" w:cs="宋体"/>
          <w:kern w:val="0"/>
          <w:sz w:val="24"/>
          <w:szCs w:val="24"/>
        </w:rPr>
      </w:pPr>
      <w:r>
        <w:rPr>
          <w:rFonts w:hint="eastAsia" w:ascii="黑体" w:hAnsi="黑体" w:eastAsia="黑体" w:cs="宋体"/>
          <w:kern w:val="0"/>
          <w:sz w:val="32"/>
          <w:szCs w:val="32"/>
        </w:rPr>
        <w:t>四、财政拨款“三公”经费预算情况</w:t>
      </w:r>
    </w:p>
    <w:p>
      <w:pPr>
        <w:widowControl/>
        <w:shd w:val="clear" w:color="auto" w:fill="FFFFFF"/>
        <w:spacing w:line="580" w:lineRule="exact"/>
        <w:ind w:firstLine="640" w:firstLineChars="200"/>
        <w:jc w:val="left"/>
        <w:rPr>
          <w:rFonts w:ascii="仿宋_GB2312" w:hAnsi="Times New Roman" w:eastAsia="仿宋_GB2312"/>
          <w:color w:val="0000FF"/>
          <w:kern w:val="0"/>
          <w:sz w:val="32"/>
          <w:szCs w:val="32"/>
        </w:rPr>
      </w:pPr>
      <w:r>
        <w:rPr>
          <w:rFonts w:hint="eastAsia" w:ascii="仿宋_GB2312" w:hAnsi="Times New Roman" w:eastAsia="仿宋_GB2312"/>
          <w:kern w:val="0"/>
          <w:sz w:val="32"/>
          <w:szCs w:val="32"/>
        </w:rPr>
        <w:t>我部门“三公”经费预算72.3万元（一般公共预算72.3万元、政府性基金预算0万元、国有资本经营预算和财政专户核拨资金0万元），其中：安排因公出国（境）费0万元，与上年部门预算安排比较无增减变化；公务用车购置及运行费69.6万元（公务用车购置费48万元、公务用车运行费21.6万元），比上年预算安排增加43.2万元，变化原因：原有车辆已超报废时限本年计划购置车辆，增加公务用车购置费；公务接待费2.7万元，比上年预算安排减少0.3万元，变化原因：节约办公费用。公务用车运行费21.6万元，比上年预算安排减少1.8万元，变化原因：节约办公费用。</w:t>
      </w:r>
    </w:p>
    <w:p>
      <w:pPr>
        <w:widowControl/>
        <w:shd w:val="clear" w:color="auto" w:fill="FFFFFF"/>
        <w:spacing w:line="580" w:lineRule="exact"/>
        <w:ind w:firstLine="640" w:firstLineChars="200"/>
        <w:jc w:val="left"/>
        <w:rPr>
          <w:rFonts w:ascii="宋体" w:hAnsi="宋体" w:cs="宋体"/>
          <w:kern w:val="0"/>
          <w:sz w:val="24"/>
          <w:szCs w:val="24"/>
        </w:rPr>
      </w:pPr>
      <w:r>
        <w:rPr>
          <w:rFonts w:hint="eastAsia" w:ascii="黑体" w:hAnsi="黑体" w:eastAsia="黑体" w:cs="宋体"/>
          <w:kern w:val="0"/>
          <w:sz w:val="32"/>
          <w:szCs w:val="32"/>
        </w:rPr>
        <w:t>五、绩效预算信息情况</w:t>
      </w:r>
    </w:p>
    <w:p>
      <w:pPr>
        <w:widowControl/>
        <w:shd w:val="clear" w:color="auto" w:fill="FFFFFF"/>
        <w:spacing w:line="580" w:lineRule="exact"/>
        <w:ind w:firstLine="643" w:firstLineChars="200"/>
        <w:jc w:val="left"/>
        <w:rPr>
          <w:rFonts w:ascii="仿宋_GB2312" w:hAnsi="Times New Roman" w:eastAsia="仿宋_GB2312"/>
          <w:b/>
          <w:kern w:val="0"/>
          <w:sz w:val="32"/>
          <w:szCs w:val="32"/>
        </w:rPr>
      </w:pPr>
      <w:r>
        <w:rPr>
          <w:rFonts w:hint="eastAsia" w:ascii="仿宋_GB2312" w:hAnsi="Times New Roman" w:eastAsia="仿宋_GB2312"/>
          <w:b/>
          <w:kern w:val="0"/>
          <w:sz w:val="32"/>
          <w:szCs w:val="32"/>
        </w:rPr>
        <w:t>总体绩效目标</w:t>
      </w:r>
    </w:p>
    <w:p>
      <w:pPr>
        <w:widowControl/>
        <w:shd w:val="clear" w:color="auto" w:fill="FFFFFF"/>
        <w:spacing w:line="580" w:lineRule="exact"/>
        <w:ind w:firstLine="640" w:firstLineChars="200"/>
        <w:jc w:val="left"/>
        <w:rPr>
          <w:rFonts w:ascii="仿宋_GB2312" w:hAnsi="Times New Roman" w:eastAsia="仿宋_GB2312"/>
          <w:kern w:val="0"/>
          <w:sz w:val="32"/>
          <w:szCs w:val="32"/>
        </w:rPr>
      </w:pPr>
      <w:r>
        <w:rPr>
          <w:rFonts w:hint="eastAsia" w:ascii="仿宋_GB2312" w:hAnsi="Times New Roman" w:eastAsia="仿宋_GB2312"/>
          <w:kern w:val="0"/>
          <w:sz w:val="32"/>
          <w:szCs w:val="32"/>
        </w:rPr>
        <w:t>认真贯彻落实党的十九大精神，按照中央纪委、省纪委和市委部署要求，坚持全面从严治党、依规治党，忠诚履行党章赋予的职责，把纪律和规矩挺在前面，加强和规范党内监督，深入推进体制机制改革，持之以恒改进作风，坚决有力惩治腐败，科学运用"四种形态"，深化标本兼治，完善党内监督体制机制，依法查办和预防职务犯罪案件，促进国家工作人员依法行使职权，建设忠诚干净担当的纪检铁军，为加快建设经济强市、美丽定州提供坚强纪律保证。    </w:t>
      </w:r>
    </w:p>
    <w:p>
      <w:pPr>
        <w:widowControl/>
        <w:shd w:val="clear" w:color="auto" w:fill="FFFFFF"/>
        <w:spacing w:line="580" w:lineRule="exact"/>
        <w:ind w:firstLine="643" w:firstLineChars="200"/>
        <w:jc w:val="left"/>
        <w:rPr>
          <w:rFonts w:ascii="仿宋_GB2312" w:hAnsi="Times New Roman" w:eastAsia="仿宋_GB2312"/>
          <w:b/>
          <w:kern w:val="0"/>
          <w:sz w:val="32"/>
          <w:szCs w:val="32"/>
        </w:rPr>
      </w:pPr>
      <w:r>
        <w:rPr>
          <w:rFonts w:hint="eastAsia" w:ascii="仿宋_GB2312" w:hAnsi="Times New Roman" w:eastAsia="仿宋_GB2312"/>
          <w:b/>
          <w:kern w:val="0"/>
          <w:sz w:val="32"/>
          <w:szCs w:val="32"/>
        </w:rPr>
        <w:t>部门职责工作活动的绩效目标指标</w:t>
      </w:r>
    </w:p>
    <w:p>
      <w:pPr>
        <w:widowControl/>
        <w:shd w:val="clear" w:color="auto" w:fill="FFFFFF"/>
        <w:spacing w:line="580" w:lineRule="exact"/>
        <w:ind w:firstLine="640" w:firstLineChars="200"/>
        <w:jc w:val="left"/>
        <w:rPr>
          <w:rFonts w:ascii="仿宋_GB2312" w:hAnsi="Times New Roman" w:eastAsia="仿宋_GB2312"/>
          <w:kern w:val="0"/>
          <w:sz w:val="32"/>
          <w:szCs w:val="32"/>
        </w:rPr>
      </w:pPr>
      <w:r>
        <w:rPr>
          <w:rFonts w:hint="eastAsia" w:ascii="仿宋_GB2312" w:hAnsi="Times New Roman" w:eastAsia="仿宋_GB2312"/>
          <w:kern w:val="0"/>
          <w:sz w:val="32"/>
          <w:szCs w:val="32"/>
        </w:rPr>
        <w:t>我部门负责在全市范围内宣传党的纪检工作方针、政策，教育纪检干部遵守和执行党章以及党内法规、党的路线方针政策和决议、国家法规等，按计划组织开展了教育活动，定期对纪检干部进行了培训；全面提高纪检监察干部队伍素质。积极发挥职能作用，加强党风廉政建设，营造风清气正、干事创业的工作氛围。指标完成情况力争达到100%。</w:t>
      </w:r>
    </w:p>
    <w:p>
      <w:pPr>
        <w:widowControl/>
        <w:shd w:val="clear" w:color="auto" w:fill="FFFFFF"/>
        <w:spacing w:line="580" w:lineRule="exact"/>
        <w:ind w:firstLine="640" w:firstLineChars="200"/>
        <w:jc w:val="left"/>
        <w:rPr>
          <w:rFonts w:ascii="仿宋_GB2312" w:hAnsi="Times New Roman" w:eastAsia="仿宋_GB2312"/>
          <w:kern w:val="0"/>
          <w:sz w:val="32"/>
          <w:szCs w:val="32"/>
        </w:rPr>
      </w:pPr>
      <w:r>
        <w:rPr>
          <w:rFonts w:hint="eastAsia" w:ascii="仿宋_GB2312" w:hAnsi="Times New Roman" w:eastAsia="仿宋_GB2312"/>
          <w:kern w:val="0"/>
          <w:sz w:val="32"/>
          <w:szCs w:val="32"/>
        </w:rPr>
        <w:t>负责受理信访举报，集中管理问题线索、组织协调案件查办，调查、审查违纪违法案件，对案件审理提出处理意见。指标完成情况力争达到100%。</w:t>
      </w:r>
    </w:p>
    <w:p>
      <w:pPr>
        <w:widowControl/>
        <w:shd w:val="clear" w:color="auto" w:fill="FFFFFF"/>
        <w:spacing w:line="580" w:lineRule="exact"/>
        <w:ind w:firstLine="640" w:firstLineChars="200"/>
        <w:jc w:val="left"/>
        <w:rPr>
          <w:rFonts w:ascii="仿宋_GB2312" w:hAnsi="Times New Roman" w:eastAsia="仿宋_GB2312"/>
          <w:kern w:val="0"/>
          <w:sz w:val="32"/>
          <w:szCs w:val="32"/>
        </w:rPr>
      </w:pPr>
      <w:r>
        <w:rPr>
          <w:rFonts w:hint="eastAsia" w:ascii="仿宋_GB2312" w:hAnsi="Times New Roman" w:eastAsia="仿宋_GB2312"/>
          <w:kern w:val="0"/>
          <w:sz w:val="32"/>
          <w:szCs w:val="32"/>
        </w:rPr>
        <w:t>负责对有关对象违反党纪政纪和违纪违法行为进行处理；组织协调案件查办工作;承担县级监察局的行政复议、行政应诉及有关条规的起草工作。指标完成情况力争达到100%。</w:t>
      </w:r>
    </w:p>
    <w:p>
      <w:pPr>
        <w:widowControl/>
        <w:shd w:val="clear" w:color="auto" w:fill="FFFFFF"/>
        <w:spacing w:line="580" w:lineRule="exact"/>
        <w:ind w:firstLine="640" w:firstLineChars="200"/>
        <w:jc w:val="left"/>
        <w:rPr>
          <w:rFonts w:ascii="仿宋_GB2312" w:hAnsi="Times New Roman" w:eastAsia="仿宋_GB2312"/>
          <w:kern w:val="0"/>
          <w:sz w:val="32"/>
          <w:szCs w:val="32"/>
        </w:rPr>
      </w:pPr>
      <w:r>
        <w:rPr>
          <w:rFonts w:hint="eastAsia" w:ascii="仿宋_GB2312" w:hAnsi="Times New Roman" w:eastAsia="仿宋_GB2312"/>
          <w:kern w:val="0"/>
          <w:sz w:val="32"/>
          <w:szCs w:val="32"/>
        </w:rPr>
        <w:t>负责监督检查党内法规政策、国家法律法规、党风廉政建设等的执行情况；履行市政府纠正行业不正之风办公室职能；贯彻落实市委有关部署，开展常态化全覆盖监督。指标完成情况力争达到100%。</w:t>
      </w:r>
    </w:p>
    <w:p>
      <w:pPr>
        <w:widowControl/>
        <w:shd w:val="clear" w:color="auto" w:fill="FFFFFF"/>
        <w:spacing w:line="580" w:lineRule="exact"/>
        <w:ind w:firstLine="640" w:firstLineChars="200"/>
        <w:jc w:val="left"/>
        <w:rPr>
          <w:rFonts w:ascii="仿宋_GB2312" w:hAnsi="Times New Roman" w:eastAsia="仿宋_GB2312"/>
          <w:kern w:val="0"/>
          <w:sz w:val="32"/>
          <w:szCs w:val="32"/>
        </w:rPr>
      </w:pPr>
      <w:r>
        <w:rPr>
          <w:rFonts w:hint="eastAsia" w:ascii="仿宋_GB2312" w:hAnsi="Times New Roman" w:eastAsia="仿宋_GB2312"/>
          <w:kern w:val="0"/>
          <w:sz w:val="32"/>
          <w:szCs w:val="32"/>
        </w:rPr>
        <w:t>负责查办和预防职务犯罪案件，完成指挥或办理职务犯罪案件工作，提高案件起诉率、判决率；完成追逃、追赃任务，最大限度挽回经济损失，促进国家工作人员依法行使职权。指标完成情况力争达到100%。</w:t>
      </w:r>
    </w:p>
    <w:p>
      <w:pPr>
        <w:widowControl/>
        <w:shd w:val="clear" w:color="auto" w:fill="FFFFFF"/>
        <w:spacing w:line="580" w:lineRule="exact"/>
        <w:ind w:firstLine="640" w:firstLineChars="200"/>
        <w:jc w:val="left"/>
        <w:rPr>
          <w:rFonts w:ascii="宋体" w:hAnsi="宋体" w:cs="宋体"/>
          <w:kern w:val="0"/>
          <w:sz w:val="24"/>
          <w:szCs w:val="24"/>
        </w:rPr>
      </w:pPr>
      <w:r>
        <w:rPr>
          <w:rFonts w:hint="eastAsia" w:ascii="黑体" w:hAnsi="黑体" w:eastAsia="黑体" w:cs="宋体"/>
          <w:kern w:val="0"/>
          <w:sz w:val="32"/>
          <w:szCs w:val="32"/>
        </w:rPr>
        <w:t>六、政府采购预算情况</w:t>
      </w:r>
    </w:p>
    <w:p>
      <w:pPr>
        <w:ind w:firstLine="640" w:firstLineChars="200"/>
        <w:jc w:val="left"/>
        <w:rPr>
          <w:rFonts w:eastAsia="方正仿宋_GBK"/>
          <w:sz w:val="28"/>
          <w:highlight w:val="none"/>
        </w:rPr>
      </w:pPr>
      <w:r>
        <w:rPr>
          <w:rFonts w:hint="eastAsia" w:ascii="仿宋_GB2312" w:hAnsi="仿宋_GB2312" w:eastAsia="仿宋_GB2312" w:cs="仿宋_GB2312"/>
          <w:sz w:val="32"/>
          <w:szCs w:val="32"/>
          <w:highlight w:val="none"/>
          <w:lang w:val="en-US" w:eastAsia="zh-CN"/>
        </w:rPr>
        <w:t>2019年</w:t>
      </w:r>
      <w:r>
        <w:rPr>
          <w:rFonts w:hint="eastAsia" w:ascii="仿宋_GB2312" w:hAnsi="仿宋_GB2312" w:eastAsia="仿宋_GB2312" w:cs="仿宋_GB2312"/>
          <w:sz w:val="32"/>
          <w:szCs w:val="32"/>
          <w:highlight w:val="none"/>
        </w:rPr>
        <w:t>，定州市</w:t>
      </w:r>
      <w:r>
        <w:rPr>
          <w:rFonts w:hint="eastAsia" w:ascii="仿宋_GB2312" w:hAnsi="仿宋_GB2312" w:eastAsia="仿宋_GB2312" w:cs="仿宋_GB2312"/>
          <w:sz w:val="32"/>
          <w:szCs w:val="32"/>
          <w:highlight w:val="none"/>
          <w:lang w:eastAsia="zh-CN"/>
        </w:rPr>
        <w:t>纪委</w:t>
      </w:r>
      <w:r>
        <w:rPr>
          <w:rFonts w:hint="eastAsia" w:ascii="仿宋_GB2312" w:hAnsi="仿宋_GB2312" w:eastAsia="仿宋_GB2312" w:cs="仿宋_GB2312"/>
          <w:sz w:val="32"/>
          <w:szCs w:val="32"/>
          <w:highlight w:val="none"/>
        </w:rPr>
        <w:t>安排政府采购预算</w:t>
      </w:r>
      <w:r>
        <w:rPr>
          <w:rFonts w:hint="eastAsia" w:ascii="仿宋_GB2312" w:hAnsi="仿宋_GB2312" w:eastAsia="仿宋_GB2312" w:cs="仿宋_GB2312"/>
          <w:sz w:val="32"/>
          <w:szCs w:val="32"/>
          <w:highlight w:val="none"/>
          <w:lang w:val="en-US" w:eastAsia="zh-CN"/>
        </w:rPr>
        <w:t>48</w:t>
      </w:r>
      <w:r>
        <w:rPr>
          <w:rFonts w:hint="eastAsia" w:ascii="仿宋_GB2312" w:hAnsi="仿宋_GB2312" w:eastAsia="仿宋_GB2312" w:cs="仿宋_GB2312"/>
          <w:sz w:val="32"/>
          <w:szCs w:val="32"/>
          <w:highlight w:val="none"/>
        </w:rPr>
        <w:t>万元。具体内容见下表。</w:t>
      </w:r>
    </w:p>
    <w:p>
      <w:pPr>
        <w:jc w:val="center"/>
        <w:rPr>
          <w:rFonts w:ascii="方正小标宋_GBK" w:eastAsia="方正小标宋_GBK"/>
          <w:sz w:val="32"/>
          <w:szCs w:val="32"/>
          <w:highlight w:val="none"/>
        </w:rPr>
      </w:pPr>
      <w:r>
        <w:rPr>
          <w:rFonts w:hint="eastAsia" w:ascii="方正小标宋_GBK" w:eastAsia="方正小标宋_GBK"/>
          <w:sz w:val="32"/>
          <w:szCs w:val="32"/>
          <w:highlight w:val="none"/>
        </w:rPr>
        <w:t>部门政府采购预算</w:t>
      </w:r>
    </w:p>
    <w:tbl>
      <w:tblPr>
        <w:tblStyle w:val="5"/>
        <w:tblW w:w="10828"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997"/>
        <w:gridCol w:w="1017"/>
        <w:gridCol w:w="1059"/>
        <w:gridCol w:w="966"/>
        <w:gridCol w:w="529"/>
        <w:gridCol w:w="677"/>
        <w:gridCol w:w="888"/>
        <w:gridCol w:w="834"/>
        <w:gridCol w:w="840"/>
        <w:gridCol w:w="664"/>
        <w:gridCol w:w="847"/>
        <w:gridCol w:w="847"/>
        <w:gridCol w:w="66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42" w:hRule="atLeast"/>
          <w:tblHeader/>
          <w:jc w:val="center"/>
        </w:trPr>
        <w:tc>
          <w:tcPr>
            <w:tcW w:w="6133" w:type="dxa"/>
            <w:gridSpan w:val="7"/>
            <w:tcBorders>
              <w:top w:val="single" w:color="FFFFFF" w:sz="6" w:space="0"/>
              <w:left w:val="single" w:color="FFFFFF" w:sz="6" w:space="0"/>
              <w:right w:val="single" w:color="FFFFFF" w:sz="6" w:space="0"/>
            </w:tcBorders>
            <w:shd w:val="clear" w:color="auto" w:fill="auto"/>
            <w:vAlign w:val="center"/>
          </w:tcPr>
          <w:p>
            <w:pPr>
              <w:spacing w:line="300" w:lineRule="exact"/>
              <w:jc w:val="left"/>
              <w:rPr>
                <w:rFonts w:hint="eastAsia" w:ascii="方正小标宋_GBK" w:eastAsia="方正仿宋_GBK"/>
                <w:sz w:val="24"/>
                <w:highlight w:val="none"/>
                <w:lang w:eastAsia="zh-CN"/>
              </w:rPr>
            </w:pPr>
            <w:r>
              <w:rPr>
                <w:rFonts w:hint="eastAsia" w:eastAsia="方正仿宋_GBK"/>
                <w:sz w:val="28"/>
                <w:highlight w:val="none"/>
              </w:rPr>
              <w:t>318002定州市</w:t>
            </w:r>
            <w:r>
              <w:rPr>
                <w:rFonts w:hint="eastAsia" w:eastAsia="方正仿宋_GBK"/>
                <w:sz w:val="28"/>
                <w:highlight w:val="none"/>
                <w:lang w:eastAsia="zh-CN"/>
              </w:rPr>
              <w:t>纪委</w:t>
            </w:r>
          </w:p>
        </w:tc>
        <w:tc>
          <w:tcPr>
            <w:tcW w:w="4695" w:type="dxa"/>
            <w:gridSpan w:val="6"/>
            <w:tcBorders>
              <w:top w:val="single" w:color="FFFFFF" w:sz="6" w:space="0"/>
              <w:left w:val="single" w:color="FFFFFF" w:sz="6" w:space="0"/>
              <w:right w:val="single" w:color="FFFFFF" w:sz="6" w:space="0"/>
            </w:tcBorders>
            <w:shd w:val="clear" w:color="auto" w:fill="auto"/>
            <w:vAlign w:val="center"/>
          </w:tcPr>
          <w:p>
            <w:pPr>
              <w:spacing w:line="300" w:lineRule="exact"/>
              <w:jc w:val="right"/>
              <w:rPr>
                <w:rFonts w:ascii="方正小标宋_GBK" w:eastAsia="方正小标宋_GBK"/>
                <w:sz w:val="24"/>
                <w:highlight w:val="none"/>
              </w:rPr>
            </w:pPr>
            <w:r>
              <w:rPr>
                <w:rFonts w:hint="eastAsia" w:ascii="方正小标宋_GBK" w:eastAsia="方正小标宋_GBK"/>
                <w:sz w:val="24"/>
                <w:highlight w:val="none"/>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656" w:hRule="atLeast"/>
          <w:tblHeader/>
          <w:jc w:val="center"/>
        </w:trPr>
        <w:tc>
          <w:tcPr>
            <w:tcW w:w="2014" w:type="dxa"/>
            <w:gridSpan w:val="2"/>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政府采购项目来源</w:t>
            </w:r>
          </w:p>
        </w:tc>
        <w:tc>
          <w:tcPr>
            <w:tcW w:w="1059"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采购物品名称</w:t>
            </w:r>
          </w:p>
        </w:tc>
        <w:tc>
          <w:tcPr>
            <w:tcW w:w="966"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政府采购目录序号</w:t>
            </w:r>
          </w:p>
        </w:tc>
        <w:tc>
          <w:tcPr>
            <w:tcW w:w="529"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计量</w:t>
            </w:r>
            <w:r>
              <w:rPr>
                <w:rFonts w:ascii="方正书宋_GBK" w:eastAsia="方正书宋_GBK"/>
                <w:b/>
              </w:rPr>
              <w:t xml:space="preserve">  单位</w:t>
            </w:r>
          </w:p>
        </w:tc>
        <w:tc>
          <w:tcPr>
            <w:tcW w:w="677"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数量</w:t>
            </w:r>
          </w:p>
        </w:tc>
        <w:tc>
          <w:tcPr>
            <w:tcW w:w="888"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单价</w:t>
            </w:r>
          </w:p>
        </w:tc>
        <w:tc>
          <w:tcPr>
            <w:tcW w:w="4695" w:type="dxa"/>
            <w:gridSpan w:val="6"/>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政府采购金额（当年部门预算安排资金）</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1594" w:hRule="atLeast"/>
          <w:tblHeader/>
          <w:jc w:val="center"/>
        </w:trPr>
        <w:tc>
          <w:tcPr>
            <w:tcW w:w="99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项目名称</w:t>
            </w:r>
          </w:p>
        </w:tc>
        <w:tc>
          <w:tcPr>
            <w:tcW w:w="101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预算资金</w:t>
            </w:r>
          </w:p>
        </w:tc>
        <w:tc>
          <w:tcPr>
            <w:tcW w:w="1059" w:type="dxa"/>
            <w:vMerge w:val="continue"/>
            <w:shd w:val="clear" w:color="auto" w:fill="auto"/>
            <w:vAlign w:val="center"/>
          </w:tcPr>
          <w:p>
            <w:pPr>
              <w:spacing w:line="300" w:lineRule="exact"/>
              <w:jc w:val="left"/>
              <w:outlineLvl w:val="1"/>
              <w:rPr>
                <w:rFonts w:eastAsia="方正仿宋_GBK"/>
                <w:sz w:val="28"/>
              </w:rPr>
            </w:pPr>
          </w:p>
        </w:tc>
        <w:tc>
          <w:tcPr>
            <w:tcW w:w="966" w:type="dxa"/>
            <w:vMerge w:val="continue"/>
            <w:shd w:val="clear" w:color="auto" w:fill="auto"/>
            <w:vAlign w:val="center"/>
          </w:tcPr>
          <w:p>
            <w:pPr>
              <w:spacing w:line="300" w:lineRule="exact"/>
              <w:jc w:val="left"/>
              <w:outlineLvl w:val="1"/>
              <w:rPr>
                <w:rFonts w:eastAsia="方正仿宋_GBK"/>
                <w:sz w:val="28"/>
              </w:rPr>
            </w:pPr>
          </w:p>
        </w:tc>
        <w:tc>
          <w:tcPr>
            <w:tcW w:w="529" w:type="dxa"/>
            <w:vMerge w:val="continue"/>
            <w:shd w:val="clear" w:color="auto" w:fill="auto"/>
            <w:vAlign w:val="center"/>
          </w:tcPr>
          <w:p>
            <w:pPr>
              <w:spacing w:line="300" w:lineRule="exact"/>
              <w:jc w:val="left"/>
              <w:outlineLvl w:val="1"/>
              <w:rPr>
                <w:rFonts w:eastAsia="方正仿宋_GBK"/>
                <w:sz w:val="28"/>
              </w:rPr>
            </w:pPr>
          </w:p>
        </w:tc>
        <w:tc>
          <w:tcPr>
            <w:tcW w:w="677" w:type="dxa"/>
            <w:vMerge w:val="continue"/>
            <w:shd w:val="clear" w:color="auto" w:fill="auto"/>
            <w:vAlign w:val="center"/>
          </w:tcPr>
          <w:p>
            <w:pPr>
              <w:spacing w:line="300" w:lineRule="exact"/>
              <w:jc w:val="left"/>
              <w:outlineLvl w:val="1"/>
              <w:rPr>
                <w:rFonts w:eastAsia="方正仿宋_GBK"/>
                <w:sz w:val="28"/>
              </w:rPr>
            </w:pPr>
          </w:p>
        </w:tc>
        <w:tc>
          <w:tcPr>
            <w:tcW w:w="888" w:type="dxa"/>
            <w:vMerge w:val="continue"/>
            <w:shd w:val="clear" w:color="auto" w:fill="auto"/>
            <w:vAlign w:val="center"/>
          </w:tcPr>
          <w:p>
            <w:pPr>
              <w:spacing w:line="300" w:lineRule="exact"/>
              <w:jc w:val="left"/>
              <w:outlineLvl w:val="1"/>
              <w:rPr>
                <w:rFonts w:eastAsia="方正仿宋_GBK"/>
                <w:sz w:val="28"/>
              </w:rPr>
            </w:pPr>
          </w:p>
        </w:tc>
        <w:tc>
          <w:tcPr>
            <w:tcW w:w="83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合计</w:t>
            </w:r>
          </w:p>
        </w:tc>
        <w:tc>
          <w:tcPr>
            <w:tcW w:w="840"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一般公共预算拨款</w:t>
            </w:r>
          </w:p>
        </w:tc>
        <w:tc>
          <w:tcPr>
            <w:tcW w:w="66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基金预算拨款</w:t>
            </w:r>
          </w:p>
        </w:tc>
        <w:tc>
          <w:tcPr>
            <w:tcW w:w="84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国有资本经营预算拨款</w:t>
            </w:r>
          </w:p>
        </w:tc>
        <w:tc>
          <w:tcPr>
            <w:tcW w:w="84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财政专户核拨</w:t>
            </w:r>
          </w:p>
        </w:tc>
        <w:tc>
          <w:tcPr>
            <w:tcW w:w="663"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单位资金</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656" w:hRule="atLeast"/>
          <w:jc w:val="center"/>
        </w:trPr>
        <w:tc>
          <w:tcPr>
            <w:tcW w:w="997"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合　计</w:t>
            </w:r>
          </w:p>
        </w:tc>
        <w:tc>
          <w:tcPr>
            <w:tcW w:w="1017" w:type="dxa"/>
            <w:shd w:val="clear" w:color="auto" w:fill="auto"/>
            <w:vAlign w:val="center"/>
          </w:tcPr>
          <w:p>
            <w:pPr>
              <w:spacing w:line="300" w:lineRule="exact"/>
              <w:jc w:val="right"/>
              <w:rPr>
                <w:rFonts w:ascii="方正书宋_GBK" w:eastAsia="方正书宋_GBK"/>
                <w:b/>
              </w:rPr>
            </w:pPr>
          </w:p>
        </w:tc>
        <w:tc>
          <w:tcPr>
            <w:tcW w:w="1059" w:type="dxa"/>
            <w:shd w:val="clear" w:color="auto" w:fill="auto"/>
            <w:vAlign w:val="center"/>
          </w:tcPr>
          <w:p>
            <w:pPr>
              <w:spacing w:line="300" w:lineRule="exact"/>
              <w:jc w:val="left"/>
              <w:rPr>
                <w:rFonts w:ascii="方正书宋_GBK" w:eastAsia="方正书宋_GBK"/>
                <w:b/>
              </w:rPr>
            </w:pPr>
          </w:p>
        </w:tc>
        <w:tc>
          <w:tcPr>
            <w:tcW w:w="966" w:type="dxa"/>
            <w:shd w:val="clear" w:color="auto" w:fill="auto"/>
            <w:vAlign w:val="center"/>
          </w:tcPr>
          <w:p>
            <w:pPr>
              <w:spacing w:line="300" w:lineRule="exact"/>
              <w:jc w:val="left"/>
              <w:rPr>
                <w:rFonts w:ascii="方正书宋_GBK" w:eastAsia="方正书宋_GBK"/>
                <w:b/>
              </w:rPr>
            </w:pPr>
          </w:p>
        </w:tc>
        <w:tc>
          <w:tcPr>
            <w:tcW w:w="529" w:type="dxa"/>
            <w:shd w:val="clear" w:color="auto" w:fill="auto"/>
            <w:vAlign w:val="center"/>
          </w:tcPr>
          <w:p>
            <w:pPr>
              <w:spacing w:line="300" w:lineRule="exact"/>
              <w:jc w:val="center"/>
              <w:rPr>
                <w:rFonts w:ascii="方正书宋_GBK" w:eastAsia="方正书宋_GBK"/>
                <w:b/>
              </w:rPr>
            </w:pPr>
          </w:p>
        </w:tc>
        <w:tc>
          <w:tcPr>
            <w:tcW w:w="677" w:type="dxa"/>
            <w:shd w:val="clear" w:color="auto" w:fill="auto"/>
            <w:vAlign w:val="center"/>
          </w:tcPr>
          <w:p>
            <w:pPr>
              <w:spacing w:line="300" w:lineRule="exact"/>
              <w:jc w:val="right"/>
              <w:rPr>
                <w:rFonts w:ascii="方正书宋_GBK" w:eastAsia="方正书宋_GBK"/>
                <w:b/>
              </w:rPr>
            </w:pPr>
          </w:p>
        </w:tc>
        <w:tc>
          <w:tcPr>
            <w:tcW w:w="888" w:type="dxa"/>
            <w:shd w:val="clear" w:color="auto" w:fill="auto"/>
            <w:vAlign w:val="center"/>
          </w:tcPr>
          <w:p>
            <w:pPr>
              <w:spacing w:line="300" w:lineRule="exact"/>
              <w:jc w:val="right"/>
              <w:rPr>
                <w:rFonts w:ascii="方正书宋_GBK" w:eastAsia="方正书宋_GBK"/>
                <w:b/>
              </w:rPr>
            </w:pPr>
          </w:p>
        </w:tc>
        <w:tc>
          <w:tcPr>
            <w:tcW w:w="834" w:type="dxa"/>
            <w:shd w:val="clear" w:color="auto" w:fill="auto"/>
            <w:vAlign w:val="center"/>
          </w:tcPr>
          <w:p>
            <w:pPr>
              <w:spacing w:line="300" w:lineRule="exact"/>
              <w:jc w:val="right"/>
              <w:rPr>
                <w:rFonts w:hint="default" w:ascii="方正书宋_GBK" w:eastAsia="方正书宋_GBK"/>
                <w:b/>
                <w:lang w:val="en-US" w:eastAsia="zh-CN"/>
              </w:rPr>
            </w:pPr>
            <w:r>
              <w:rPr>
                <w:rFonts w:hint="eastAsia" w:ascii="方正书宋_GBK" w:eastAsia="方正书宋_GBK"/>
                <w:b/>
                <w:lang w:val="en-US" w:eastAsia="zh-CN"/>
              </w:rPr>
              <w:t>48.00</w:t>
            </w:r>
          </w:p>
        </w:tc>
        <w:tc>
          <w:tcPr>
            <w:tcW w:w="840" w:type="dxa"/>
            <w:shd w:val="clear" w:color="auto" w:fill="auto"/>
            <w:vAlign w:val="center"/>
          </w:tcPr>
          <w:p>
            <w:pPr>
              <w:spacing w:line="300" w:lineRule="exact"/>
              <w:jc w:val="right"/>
              <w:rPr>
                <w:rFonts w:hint="default" w:ascii="方正书宋_GBK" w:eastAsia="方正书宋_GBK"/>
                <w:b/>
                <w:lang w:val="en-US" w:eastAsia="zh-CN"/>
              </w:rPr>
            </w:pPr>
            <w:r>
              <w:rPr>
                <w:rFonts w:hint="eastAsia" w:ascii="方正书宋_GBK" w:eastAsia="方正书宋_GBK"/>
                <w:b/>
                <w:lang w:val="en-US" w:eastAsia="zh-CN"/>
              </w:rPr>
              <w:t>48.00</w:t>
            </w:r>
          </w:p>
        </w:tc>
        <w:tc>
          <w:tcPr>
            <w:tcW w:w="664" w:type="dxa"/>
            <w:shd w:val="clear" w:color="auto" w:fill="auto"/>
            <w:vAlign w:val="center"/>
          </w:tcPr>
          <w:p>
            <w:pPr>
              <w:spacing w:line="300" w:lineRule="exact"/>
              <w:jc w:val="right"/>
              <w:rPr>
                <w:rFonts w:ascii="方正书宋_GBK" w:eastAsia="方正书宋_GBK"/>
                <w:b/>
              </w:rPr>
            </w:pPr>
          </w:p>
        </w:tc>
        <w:tc>
          <w:tcPr>
            <w:tcW w:w="847" w:type="dxa"/>
            <w:shd w:val="clear" w:color="auto" w:fill="auto"/>
            <w:vAlign w:val="center"/>
          </w:tcPr>
          <w:p>
            <w:pPr>
              <w:spacing w:line="300" w:lineRule="exact"/>
              <w:jc w:val="right"/>
              <w:rPr>
                <w:rFonts w:ascii="方正书宋_GBK" w:eastAsia="方正书宋_GBK"/>
                <w:b/>
              </w:rPr>
            </w:pPr>
          </w:p>
        </w:tc>
        <w:tc>
          <w:tcPr>
            <w:tcW w:w="847" w:type="dxa"/>
            <w:shd w:val="clear" w:color="auto" w:fill="auto"/>
            <w:vAlign w:val="center"/>
          </w:tcPr>
          <w:p>
            <w:pPr>
              <w:spacing w:line="300" w:lineRule="exact"/>
              <w:jc w:val="right"/>
              <w:rPr>
                <w:rFonts w:ascii="方正书宋_GBK" w:eastAsia="方正书宋_GBK"/>
                <w:b/>
              </w:rPr>
            </w:pPr>
          </w:p>
        </w:tc>
        <w:tc>
          <w:tcPr>
            <w:tcW w:w="663" w:type="dxa"/>
            <w:shd w:val="clear" w:color="auto" w:fill="auto"/>
            <w:vAlign w:val="center"/>
          </w:tcPr>
          <w:p>
            <w:pPr>
              <w:spacing w:line="300" w:lineRule="exact"/>
              <w:jc w:val="right"/>
              <w:rPr>
                <w:rFonts w:ascii="方正书宋_GBK" w:eastAsia="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656" w:hRule="atLeast"/>
          <w:jc w:val="center"/>
        </w:trPr>
        <w:tc>
          <w:tcPr>
            <w:tcW w:w="997" w:type="dxa"/>
            <w:shd w:val="clear" w:color="auto" w:fill="auto"/>
            <w:vAlign w:val="center"/>
          </w:tcPr>
          <w:p>
            <w:pPr>
              <w:spacing w:line="300" w:lineRule="exact"/>
              <w:jc w:val="left"/>
              <w:rPr>
                <w:rFonts w:hint="eastAsia" w:ascii="方正书宋_GBK" w:eastAsia="方正书宋_GBK"/>
                <w:lang w:eastAsia="zh-CN"/>
              </w:rPr>
            </w:pPr>
            <w:r>
              <w:rPr>
                <w:rFonts w:hint="eastAsia" w:ascii="方正书宋_GBK" w:eastAsia="方正书宋_GBK"/>
                <w:lang w:eastAsia="zh-CN"/>
              </w:rPr>
              <w:t>货物类</w:t>
            </w:r>
          </w:p>
        </w:tc>
        <w:tc>
          <w:tcPr>
            <w:tcW w:w="1017" w:type="dxa"/>
            <w:shd w:val="clear" w:color="auto" w:fill="auto"/>
            <w:vAlign w:val="center"/>
          </w:tcPr>
          <w:p>
            <w:pPr>
              <w:spacing w:line="300" w:lineRule="exact"/>
              <w:jc w:val="right"/>
              <w:rPr>
                <w:rFonts w:hint="default" w:ascii="方正书宋_GBK" w:eastAsia="方正书宋_GBK"/>
                <w:lang w:val="en-US" w:eastAsia="zh-CN"/>
              </w:rPr>
            </w:pPr>
            <w:r>
              <w:rPr>
                <w:rFonts w:hint="eastAsia" w:ascii="方正书宋_GBK" w:eastAsia="方正书宋_GBK"/>
                <w:lang w:val="en-US" w:eastAsia="zh-CN"/>
              </w:rPr>
              <w:t>48.00</w:t>
            </w:r>
          </w:p>
        </w:tc>
        <w:tc>
          <w:tcPr>
            <w:tcW w:w="1059" w:type="dxa"/>
            <w:shd w:val="clear" w:color="auto" w:fill="auto"/>
            <w:vAlign w:val="center"/>
          </w:tcPr>
          <w:p>
            <w:pPr>
              <w:spacing w:line="300" w:lineRule="exact"/>
              <w:jc w:val="left"/>
              <w:rPr>
                <w:rFonts w:hint="eastAsia" w:ascii="方正书宋_GBK" w:eastAsia="方正书宋_GBK"/>
                <w:lang w:eastAsia="zh-CN"/>
              </w:rPr>
            </w:pPr>
            <w:r>
              <w:rPr>
                <w:rFonts w:hint="eastAsia" w:ascii="方正书宋_GBK" w:eastAsia="方正书宋_GBK"/>
                <w:lang w:eastAsia="zh-CN"/>
              </w:rPr>
              <w:t>轿车</w:t>
            </w:r>
          </w:p>
        </w:tc>
        <w:tc>
          <w:tcPr>
            <w:tcW w:w="966" w:type="dxa"/>
            <w:shd w:val="clear" w:color="auto" w:fill="auto"/>
            <w:vAlign w:val="center"/>
          </w:tcPr>
          <w:p>
            <w:pPr>
              <w:spacing w:line="300" w:lineRule="exact"/>
              <w:jc w:val="left"/>
              <w:rPr>
                <w:rFonts w:hint="default" w:ascii="方正书宋_GBK" w:eastAsia="方正书宋_GBK"/>
                <w:lang w:val="en-US" w:eastAsia="zh-CN"/>
              </w:rPr>
            </w:pPr>
            <w:r>
              <w:rPr>
                <w:rFonts w:hint="eastAsia" w:ascii="方正书宋_GBK" w:eastAsia="方正书宋_GBK"/>
                <w:lang w:val="en-US" w:eastAsia="zh-CN"/>
              </w:rPr>
              <w:t>A0203050</w:t>
            </w:r>
          </w:p>
        </w:tc>
        <w:tc>
          <w:tcPr>
            <w:tcW w:w="529" w:type="dxa"/>
            <w:shd w:val="clear" w:color="auto" w:fill="auto"/>
            <w:vAlign w:val="center"/>
          </w:tcPr>
          <w:p>
            <w:pPr>
              <w:spacing w:line="300" w:lineRule="exact"/>
              <w:jc w:val="center"/>
              <w:rPr>
                <w:rFonts w:hint="eastAsia" w:ascii="方正书宋_GBK" w:eastAsia="方正书宋_GBK"/>
                <w:lang w:eastAsia="zh-CN"/>
              </w:rPr>
            </w:pPr>
            <w:r>
              <w:rPr>
                <w:rFonts w:hint="eastAsia" w:ascii="方正书宋_GBK" w:eastAsia="方正书宋_GBK"/>
                <w:lang w:eastAsia="zh-CN"/>
              </w:rPr>
              <w:t>辆</w:t>
            </w:r>
          </w:p>
        </w:tc>
        <w:tc>
          <w:tcPr>
            <w:tcW w:w="677" w:type="dxa"/>
            <w:shd w:val="clear" w:color="auto" w:fill="auto"/>
            <w:vAlign w:val="center"/>
          </w:tcPr>
          <w:p>
            <w:pPr>
              <w:spacing w:line="300" w:lineRule="exact"/>
              <w:jc w:val="right"/>
              <w:rPr>
                <w:rFonts w:ascii="方正书宋_GBK" w:eastAsia="方正书宋_GBK"/>
              </w:rPr>
            </w:pPr>
            <w:r>
              <w:rPr>
                <w:rFonts w:hint="eastAsia" w:ascii="方正书宋_GBK" w:eastAsia="方正书宋_GBK"/>
                <w:lang w:val="en-US" w:eastAsia="zh-CN"/>
              </w:rPr>
              <w:t>4</w:t>
            </w:r>
            <w:r>
              <w:rPr>
                <w:rFonts w:ascii="方正书宋_GBK" w:eastAsia="方正书宋_GBK"/>
              </w:rPr>
              <w:t>.00</w:t>
            </w:r>
          </w:p>
        </w:tc>
        <w:tc>
          <w:tcPr>
            <w:tcW w:w="888" w:type="dxa"/>
            <w:shd w:val="clear" w:color="auto" w:fill="auto"/>
            <w:vAlign w:val="center"/>
          </w:tcPr>
          <w:p>
            <w:pPr>
              <w:spacing w:line="300" w:lineRule="exact"/>
              <w:jc w:val="right"/>
              <w:rPr>
                <w:rFonts w:hint="default" w:ascii="方正书宋_GBK" w:eastAsia="方正书宋_GBK"/>
                <w:lang w:val="en-US" w:eastAsia="zh-CN"/>
              </w:rPr>
            </w:pPr>
            <w:r>
              <w:rPr>
                <w:rFonts w:hint="eastAsia" w:ascii="方正书宋_GBK" w:eastAsia="方正书宋_GBK"/>
                <w:lang w:val="en-US" w:eastAsia="zh-CN"/>
              </w:rPr>
              <w:t>12.00</w:t>
            </w:r>
          </w:p>
        </w:tc>
        <w:tc>
          <w:tcPr>
            <w:tcW w:w="834" w:type="dxa"/>
            <w:shd w:val="clear" w:color="auto" w:fill="auto"/>
            <w:vAlign w:val="center"/>
          </w:tcPr>
          <w:p>
            <w:pPr>
              <w:spacing w:line="300" w:lineRule="exact"/>
              <w:jc w:val="right"/>
              <w:rPr>
                <w:rFonts w:hint="default" w:ascii="方正书宋_GBK" w:eastAsia="方正书宋_GBK"/>
                <w:lang w:val="en-US" w:eastAsia="zh-CN"/>
              </w:rPr>
            </w:pPr>
            <w:r>
              <w:rPr>
                <w:rFonts w:hint="eastAsia" w:ascii="方正书宋_GBK" w:eastAsia="方正书宋_GBK"/>
                <w:lang w:val="en-US" w:eastAsia="zh-CN"/>
              </w:rPr>
              <w:t>48.00</w:t>
            </w:r>
          </w:p>
        </w:tc>
        <w:tc>
          <w:tcPr>
            <w:tcW w:w="840" w:type="dxa"/>
            <w:shd w:val="clear" w:color="auto" w:fill="auto"/>
            <w:vAlign w:val="center"/>
          </w:tcPr>
          <w:p>
            <w:pPr>
              <w:spacing w:line="300" w:lineRule="exact"/>
              <w:jc w:val="right"/>
              <w:rPr>
                <w:rFonts w:hint="default" w:ascii="方正书宋_GBK" w:eastAsia="方正书宋_GBK"/>
                <w:lang w:val="en-US" w:eastAsia="zh-CN"/>
              </w:rPr>
            </w:pPr>
            <w:r>
              <w:rPr>
                <w:rFonts w:hint="eastAsia" w:ascii="方正书宋_GBK" w:eastAsia="方正书宋_GBK"/>
                <w:lang w:val="en-US" w:eastAsia="zh-CN"/>
              </w:rPr>
              <w:t>48.00</w:t>
            </w:r>
          </w:p>
        </w:tc>
        <w:tc>
          <w:tcPr>
            <w:tcW w:w="664" w:type="dxa"/>
            <w:shd w:val="clear" w:color="auto" w:fill="auto"/>
            <w:vAlign w:val="center"/>
          </w:tcPr>
          <w:p>
            <w:pPr>
              <w:spacing w:line="300" w:lineRule="exact"/>
              <w:jc w:val="right"/>
              <w:rPr>
                <w:rFonts w:ascii="方正书宋_GBK" w:eastAsia="方正书宋_GBK"/>
              </w:rPr>
            </w:pPr>
          </w:p>
        </w:tc>
        <w:tc>
          <w:tcPr>
            <w:tcW w:w="847" w:type="dxa"/>
            <w:shd w:val="clear" w:color="auto" w:fill="auto"/>
            <w:vAlign w:val="center"/>
          </w:tcPr>
          <w:p>
            <w:pPr>
              <w:spacing w:line="300" w:lineRule="exact"/>
              <w:jc w:val="right"/>
              <w:rPr>
                <w:rFonts w:ascii="方正书宋_GBK" w:eastAsia="方正书宋_GBK"/>
              </w:rPr>
            </w:pPr>
          </w:p>
        </w:tc>
        <w:tc>
          <w:tcPr>
            <w:tcW w:w="847" w:type="dxa"/>
            <w:shd w:val="clear" w:color="auto" w:fill="auto"/>
            <w:vAlign w:val="center"/>
          </w:tcPr>
          <w:p>
            <w:pPr>
              <w:spacing w:line="300" w:lineRule="exact"/>
              <w:jc w:val="right"/>
              <w:rPr>
                <w:rFonts w:ascii="方正书宋_GBK" w:eastAsia="方正书宋_GBK"/>
              </w:rPr>
            </w:pPr>
          </w:p>
        </w:tc>
        <w:tc>
          <w:tcPr>
            <w:tcW w:w="663" w:type="dxa"/>
            <w:shd w:val="clear" w:color="auto" w:fill="auto"/>
            <w:vAlign w:val="center"/>
          </w:tcPr>
          <w:p>
            <w:pPr>
              <w:spacing w:line="300" w:lineRule="exact"/>
              <w:jc w:val="right"/>
              <w:rPr>
                <w:rFonts w:ascii="方正书宋_GBK" w:eastAsia="方正书宋_GBK"/>
              </w:rPr>
            </w:pPr>
          </w:p>
        </w:tc>
      </w:tr>
    </w:tbl>
    <w:p>
      <w:pPr>
        <w:spacing w:line="500" w:lineRule="exact"/>
        <w:ind w:firstLine="640" w:firstLineChars="200"/>
        <w:jc w:val="left"/>
        <w:rPr>
          <w:rFonts w:hint="eastAsia" w:ascii="仿宋_GB2312" w:hAnsi="Times New Roman" w:eastAsia="仿宋_GB2312"/>
          <w:kern w:val="0"/>
          <w:sz w:val="32"/>
          <w:szCs w:val="32"/>
        </w:rPr>
      </w:pPr>
    </w:p>
    <w:p>
      <w:pPr>
        <w:spacing w:line="500" w:lineRule="exact"/>
        <w:ind w:firstLine="640" w:firstLineChars="200"/>
        <w:jc w:val="left"/>
        <w:rPr>
          <w:rFonts w:hint="eastAsia" w:ascii="仿宋_GB2312" w:hAnsi="Times New Roman" w:eastAsia="仿宋_GB2312"/>
          <w:kern w:val="0"/>
          <w:sz w:val="32"/>
          <w:szCs w:val="32"/>
        </w:rPr>
      </w:pPr>
    </w:p>
    <w:p>
      <w:pPr>
        <w:spacing w:line="500" w:lineRule="exact"/>
        <w:ind w:firstLine="640" w:firstLineChars="200"/>
        <w:jc w:val="left"/>
        <w:rPr>
          <w:rFonts w:hint="eastAsia" w:ascii="仿宋_GB2312" w:hAnsi="Times New Roman" w:eastAsia="仿宋_GB2312"/>
          <w:kern w:val="0"/>
          <w:sz w:val="32"/>
          <w:szCs w:val="32"/>
        </w:rPr>
      </w:pPr>
    </w:p>
    <w:p>
      <w:pPr>
        <w:spacing w:line="500" w:lineRule="exact"/>
        <w:ind w:firstLine="640" w:firstLineChars="200"/>
        <w:jc w:val="left"/>
        <w:rPr>
          <w:rFonts w:hint="eastAsia" w:ascii="仿宋_GB2312" w:hAnsi="Times New Roman" w:eastAsia="仿宋_GB2312"/>
          <w:kern w:val="0"/>
          <w:sz w:val="32"/>
          <w:szCs w:val="32"/>
        </w:rPr>
      </w:pPr>
    </w:p>
    <w:p>
      <w:pPr>
        <w:spacing w:line="500" w:lineRule="exact"/>
        <w:ind w:firstLine="640" w:firstLineChars="200"/>
        <w:jc w:val="left"/>
        <w:rPr>
          <w:rFonts w:hint="eastAsia" w:ascii="仿宋_GB2312" w:hAnsi="Times New Roman" w:eastAsia="仿宋_GB2312"/>
          <w:kern w:val="0"/>
          <w:sz w:val="32"/>
          <w:szCs w:val="32"/>
        </w:rPr>
      </w:pPr>
    </w:p>
    <w:p>
      <w:pPr>
        <w:widowControl/>
        <w:shd w:val="clear" w:color="auto" w:fill="FFFFFF"/>
        <w:spacing w:line="580" w:lineRule="exact"/>
        <w:ind w:firstLine="640" w:firstLineChars="200"/>
        <w:jc w:val="left"/>
        <w:rPr>
          <w:rFonts w:ascii="宋体" w:hAnsi="宋体" w:cs="宋体"/>
          <w:kern w:val="0"/>
          <w:sz w:val="24"/>
          <w:szCs w:val="24"/>
        </w:rPr>
      </w:pPr>
      <w:r>
        <w:rPr>
          <w:rFonts w:hint="eastAsia" w:ascii="黑体" w:hAnsi="黑体" w:eastAsia="黑体" w:cs="宋体"/>
          <w:kern w:val="0"/>
          <w:sz w:val="32"/>
          <w:szCs w:val="32"/>
        </w:rPr>
        <w:t>七、国有资产信息情况</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定州市</w:t>
      </w:r>
      <w:r>
        <w:rPr>
          <w:rFonts w:hint="eastAsia" w:ascii="仿宋_GB2312" w:hAnsi="仿宋_GB2312" w:eastAsia="仿宋_GB2312" w:cs="仿宋_GB2312"/>
          <w:sz w:val="32"/>
          <w:szCs w:val="32"/>
          <w:highlight w:val="none"/>
          <w:lang w:eastAsia="zh-CN"/>
        </w:rPr>
        <w:t>纪委</w:t>
      </w:r>
      <w:r>
        <w:rPr>
          <w:rFonts w:hint="eastAsia" w:ascii="仿宋_GB2312" w:hAnsi="仿宋_GB2312" w:eastAsia="仿宋_GB2312" w:cs="仿宋_GB2312"/>
          <w:sz w:val="32"/>
          <w:szCs w:val="32"/>
          <w:highlight w:val="none"/>
        </w:rPr>
        <w:t>上年末固定资产金额为</w:t>
      </w:r>
      <w:r>
        <w:rPr>
          <w:rFonts w:hint="eastAsia" w:ascii="仿宋_GB2312" w:hAnsi="仿宋_GB2312" w:eastAsia="仿宋_GB2312" w:cs="仿宋_GB2312"/>
          <w:sz w:val="32"/>
          <w:szCs w:val="32"/>
          <w:highlight w:val="none"/>
          <w:lang w:val="en-US" w:eastAsia="zh-CN"/>
        </w:rPr>
        <w:t>393.7</w:t>
      </w:r>
      <w:bookmarkStart w:id="0" w:name="_GoBack"/>
      <w:bookmarkEnd w:id="0"/>
      <w:r>
        <w:rPr>
          <w:rFonts w:hint="eastAsia" w:ascii="仿宋_GB2312" w:hAnsi="仿宋_GB2312" w:eastAsia="仿宋_GB2312" w:cs="仿宋_GB2312"/>
          <w:sz w:val="32"/>
          <w:szCs w:val="32"/>
          <w:highlight w:val="none"/>
        </w:rPr>
        <w:t>万元（详见下表），本年度拟购置固定资产总额为</w:t>
      </w:r>
      <w:r>
        <w:rPr>
          <w:rFonts w:hint="eastAsia" w:ascii="仿宋_GB2312" w:hAnsi="仿宋_GB2312" w:eastAsia="仿宋_GB2312" w:cs="仿宋_GB2312"/>
          <w:sz w:val="32"/>
          <w:szCs w:val="32"/>
          <w:highlight w:val="none"/>
          <w:lang w:val="en-US" w:eastAsia="zh-CN"/>
        </w:rPr>
        <w:t>48</w:t>
      </w:r>
      <w:r>
        <w:rPr>
          <w:rFonts w:hint="eastAsia" w:ascii="仿宋_GB2312" w:hAnsi="仿宋_GB2312" w:eastAsia="仿宋_GB2312" w:cs="仿宋_GB2312"/>
          <w:sz w:val="32"/>
          <w:szCs w:val="32"/>
          <w:highlight w:val="none"/>
        </w:rPr>
        <w:t>万元，主要为</w:t>
      </w:r>
      <w:r>
        <w:rPr>
          <w:rFonts w:hint="eastAsia" w:ascii="仿宋_GB2312" w:hAnsi="仿宋_GB2312" w:eastAsia="仿宋_GB2312" w:cs="仿宋_GB2312"/>
          <w:sz w:val="32"/>
          <w:szCs w:val="32"/>
          <w:highlight w:val="none"/>
          <w:lang w:eastAsia="zh-CN"/>
        </w:rPr>
        <w:t>购置公务用轿车，</w:t>
      </w:r>
      <w:r>
        <w:rPr>
          <w:rFonts w:hint="eastAsia" w:ascii="仿宋_GB2312" w:hAnsi="仿宋_GB2312" w:eastAsia="仿宋_GB2312" w:cs="仿宋_GB2312"/>
          <w:sz w:val="32"/>
          <w:szCs w:val="32"/>
          <w:highlight w:val="none"/>
        </w:rPr>
        <w:t>已列入政府采购预算，详见政府采购预算表。</w:t>
      </w:r>
    </w:p>
    <w:p>
      <w:pPr>
        <w:spacing w:line="500" w:lineRule="exact"/>
        <w:ind w:firstLine="560" w:firstLineChars="200"/>
        <w:jc w:val="left"/>
        <w:rPr>
          <w:rFonts w:eastAsia="方正仿宋_GBK"/>
          <w:sz w:val="28"/>
          <w:highlight w:val="none"/>
        </w:rPr>
      </w:pPr>
    </w:p>
    <w:p>
      <w:pPr>
        <w:jc w:val="center"/>
        <w:rPr>
          <w:rFonts w:eastAsia="方正仿宋_GBK"/>
          <w:sz w:val="28"/>
          <w:highlight w:val="none"/>
        </w:rPr>
      </w:pPr>
      <w:r>
        <w:rPr>
          <w:rFonts w:hint="eastAsia" w:eastAsia="方正仿宋_GBK"/>
          <w:sz w:val="28"/>
          <w:highlight w:val="none"/>
        </w:rPr>
        <w:t>固定资产占用情况表</w:t>
      </w:r>
    </w:p>
    <w:tbl>
      <w:tblPr>
        <w:tblStyle w:val="5"/>
        <w:tblW w:w="9779" w:type="dxa"/>
        <w:tblInd w:w="93" w:type="dxa"/>
        <w:tblLayout w:type="autofit"/>
        <w:tblCellMar>
          <w:top w:w="0" w:type="dxa"/>
          <w:left w:w="108" w:type="dxa"/>
          <w:bottom w:w="0" w:type="dxa"/>
          <w:right w:w="108" w:type="dxa"/>
        </w:tblCellMar>
      </w:tblPr>
      <w:tblGrid>
        <w:gridCol w:w="3789"/>
        <w:gridCol w:w="2289"/>
        <w:gridCol w:w="3701"/>
      </w:tblGrid>
      <w:tr>
        <w:tblPrEx>
          <w:tblCellMar>
            <w:top w:w="0" w:type="dxa"/>
            <w:left w:w="108" w:type="dxa"/>
            <w:bottom w:w="0" w:type="dxa"/>
            <w:right w:w="108" w:type="dxa"/>
          </w:tblCellMar>
        </w:tblPrEx>
        <w:trPr>
          <w:trHeight w:val="537" w:hRule="atLeast"/>
        </w:trPr>
        <w:tc>
          <w:tcPr>
            <w:tcW w:w="6078" w:type="dxa"/>
            <w:gridSpan w:val="2"/>
            <w:tcBorders>
              <w:top w:val="nil"/>
              <w:left w:val="nil"/>
              <w:bottom w:val="nil"/>
              <w:right w:val="nil"/>
            </w:tcBorders>
            <w:shd w:val="clear" w:color="auto" w:fill="auto"/>
            <w:noWrap/>
            <w:vAlign w:val="center"/>
          </w:tcPr>
          <w:p>
            <w:pPr>
              <w:tabs>
                <w:tab w:val="right" w:pos="5452"/>
              </w:tabs>
              <w:spacing w:line="300" w:lineRule="exact"/>
              <w:jc w:val="left"/>
              <w:rPr>
                <w:rFonts w:hint="eastAsia" w:eastAsia="方正仿宋_GBK"/>
                <w:sz w:val="28"/>
                <w:highlight w:val="none"/>
                <w:lang w:eastAsia="zh-CN"/>
              </w:rPr>
            </w:pPr>
            <w:r>
              <w:rPr>
                <w:rFonts w:hint="eastAsia" w:eastAsia="方正仿宋_GBK"/>
                <w:sz w:val="28"/>
                <w:highlight w:val="none"/>
              </w:rPr>
              <w:t>318定州市</w:t>
            </w:r>
            <w:r>
              <w:rPr>
                <w:rFonts w:hint="eastAsia" w:eastAsia="方正仿宋_GBK"/>
                <w:sz w:val="28"/>
                <w:highlight w:val="none"/>
                <w:lang w:eastAsia="zh-CN"/>
              </w:rPr>
              <w:t>纪委</w:t>
            </w:r>
          </w:p>
        </w:tc>
        <w:tc>
          <w:tcPr>
            <w:tcW w:w="3701" w:type="dxa"/>
            <w:tcBorders>
              <w:top w:val="nil"/>
              <w:left w:val="nil"/>
              <w:bottom w:val="nil"/>
              <w:right w:val="nil"/>
            </w:tcBorders>
            <w:shd w:val="clear" w:color="auto" w:fill="auto"/>
            <w:noWrap/>
            <w:vAlign w:val="center"/>
          </w:tcPr>
          <w:p>
            <w:pPr>
              <w:spacing w:line="300" w:lineRule="exact"/>
              <w:jc w:val="both"/>
              <w:rPr>
                <w:rFonts w:hint="default" w:ascii="方正小标宋_GBK" w:eastAsia="方正小标宋_GBK"/>
                <w:sz w:val="24"/>
                <w:highlight w:val="none"/>
                <w:lang w:val="en-US" w:eastAsia="zh-CN"/>
              </w:rPr>
            </w:pPr>
            <w:r>
              <w:rPr>
                <w:rFonts w:hint="eastAsia" w:ascii="方正小标宋_GBK" w:eastAsia="方正小标宋_GBK"/>
                <w:sz w:val="24"/>
                <w:highlight w:val="none"/>
                <w:lang w:eastAsia="zh-CN"/>
              </w:rPr>
              <w:t>截止时间：</w:t>
            </w:r>
            <w:r>
              <w:rPr>
                <w:rFonts w:hint="eastAsia" w:ascii="方正小标宋_GBK" w:eastAsia="方正小标宋_GBK"/>
                <w:sz w:val="24"/>
                <w:highlight w:val="none"/>
                <w:lang w:val="en-US" w:eastAsia="zh-CN"/>
              </w:rPr>
              <w:t>2020年12月31日</w:t>
            </w:r>
          </w:p>
        </w:tc>
      </w:tr>
      <w:tr>
        <w:tblPrEx>
          <w:tblCellMar>
            <w:top w:w="0" w:type="dxa"/>
            <w:left w:w="108" w:type="dxa"/>
            <w:bottom w:w="0" w:type="dxa"/>
            <w:right w:w="108" w:type="dxa"/>
          </w:tblCellMar>
        </w:tblPrEx>
        <w:trPr>
          <w:trHeight w:val="678" w:hRule="atLeast"/>
        </w:trPr>
        <w:tc>
          <w:tcPr>
            <w:tcW w:w="378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方正书宋_GBK" w:hAnsi="宋体" w:eastAsia="方正书宋_GBK" w:cs="宋体"/>
                <w:b/>
                <w:bCs/>
                <w:kern w:val="0"/>
                <w:szCs w:val="21"/>
              </w:rPr>
            </w:pPr>
            <w:r>
              <w:rPr>
                <w:rFonts w:hint="eastAsia" w:ascii="方正书宋_GBK" w:hAnsi="宋体" w:eastAsia="方正书宋_GBK" w:cs="宋体"/>
                <w:b/>
                <w:bCs/>
                <w:kern w:val="0"/>
                <w:szCs w:val="21"/>
              </w:rPr>
              <w:t>项   目</w:t>
            </w:r>
          </w:p>
        </w:tc>
        <w:tc>
          <w:tcPr>
            <w:tcW w:w="228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方正书宋_GBK" w:hAnsi="宋体" w:eastAsia="方正书宋_GBK" w:cs="宋体"/>
                <w:b/>
                <w:bCs/>
                <w:kern w:val="0"/>
                <w:szCs w:val="21"/>
              </w:rPr>
            </w:pPr>
            <w:r>
              <w:rPr>
                <w:rFonts w:hint="eastAsia" w:ascii="方正书宋_GBK" w:hAnsi="宋体" w:eastAsia="方正书宋_GBK" w:cs="宋体"/>
                <w:b/>
                <w:bCs/>
                <w:kern w:val="0"/>
                <w:szCs w:val="21"/>
              </w:rPr>
              <w:t>数量</w:t>
            </w:r>
          </w:p>
        </w:tc>
        <w:tc>
          <w:tcPr>
            <w:tcW w:w="370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方正书宋_GBK" w:hAnsi="宋体" w:eastAsia="方正书宋_GBK" w:cs="宋体"/>
                <w:b/>
                <w:bCs/>
                <w:kern w:val="0"/>
                <w:szCs w:val="21"/>
              </w:rPr>
            </w:pPr>
            <w:r>
              <w:rPr>
                <w:rFonts w:hint="eastAsia" w:ascii="方正书宋_GBK" w:hAnsi="宋体" w:eastAsia="方正书宋_GBK" w:cs="宋体"/>
                <w:b/>
                <w:bCs/>
                <w:kern w:val="0"/>
                <w:szCs w:val="21"/>
              </w:rPr>
              <w:t>价值（金额单位：万元）</w:t>
            </w:r>
          </w:p>
        </w:tc>
      </w:tr>
      <w:tr>
        <w:tblPrEx>
          <w:tblCellMar>
            <w:top w:w="0" w:type="dxa"/>
            <w:left w:w="108" w:type="dxa"/>
            <w:bottom w:w="0" w:type="dxa"/>
            <w:right w:w="108" w:type="dxa"/>
          </w:tblCellMar>
        </w:tblPrEx>
        <w:trPr>
          <w:trHeight w:val="499" w:hRule="atLeast"/>
        </w:trPr>
        <w:tc>
          <w:tcPr>
            <w:tcW w:w="3789" w:type="dxa"/>
            <w:tcBorders>
              <w:top w:val="nil"/>
              <w:left w:val="single" w:color="auto" w:sz="4" w:space="0"/>
              <w:bottom w:val="single" w:color="auto" w:sz="4" w:space="0"/>
              <w:right w:val="single" w:color="auto" w:sz="4" w:space="0"/>
            </w:tcBorders>
            <w:shd w:val="clear" w:color="auto" w:fill="auto"/>
            <w:noWrap/>
            <w:vAlign w:val="center"/>
          </w:tcPr>
          <w:p>
            <w:pPr>
              <w:widowControl/>
              <w:adjustRightInd w:val="0"/>
              <w:snapToGrid w:val="0"/>
              <w:jc w:val="center"/>
              <w:rPr>
                <w:rFonts w:ascii="方正书宋_GBK" w:hAnsi="宋体" w:eastAsia="方正书宋_GBK" w:cs="宋体"/>
                <w:kern w:val="0"/>
                <w:szCs w:val="21"/>
              </w:rPr>
            </w:pPr>
            <w:r>
              <w:rPr>
                <w:rFonts w:hint="eastAsia" w:ascii="方正书宋_GBK" w:hAnsi="宋体" w:eastAsia="方正书宋_GBK" w:cs="宋体"/>
                <w:kern w:val="0"/>
                <w:szCs w:val="21"/>
              </w:rPr>
              <w:t>资产总额</w:t>
            </w:r>
          </w:p>
        </w:tc>
        <w:tc>
          <w:tcPr>
            <w:tcW w:w="2289" w:type="dxa"/>
            <w:tcBorders>
              <w:top w:val="nil"/>
              <w:left w:val="nil"/>
              <w:bottom w:val="single" w:color="auto" w:sz="4" w:space="0"/>
              <w:right w:val="single" w:color="auto" w:sz="4" w:space="0"/>
            </w:tcBorders>
            <w:shd w:val="clear" w:color="auto" w:fill="auto"/>
            <w:noWrap/>
            <w:vAlign w:val="center"/>
          </w:tcPr>
          <w:p>
            <w:pPr>
              <w:widowControl/>
              <w:adjustRightInd w:val="0"/>
              <w:snapToGrid w:val="0"/>
              <w:jc w:val="center"/>
              <w:rPr>
                <w:rFonts w:ascii="方正书宋_GBK" w:eastAsia="方正书宋_GBK"/>
                <w:kern w:val="0"/>
                <w:szCs w:val="21"/>
              </w:rPr>
            </w:pPr>
            <w:r>
              <w:rPr>
                <w:rFonts w:hint="eastAsia" w:ascii="方正书宋_GBK" w:eastAsia="方正书宋_GBK"/>
                <w:kern w:val="0"/>
                <w:szCs w:val="21"/>
              </w:rPr>
              <w:t>——</w:t>
            </w:r>
          </w:p>
        </w:tc>
        <w:tc>
          <w:tcPr>
            <w:tcW w:w="3701" w:type="dxa"/>
            <w:tcBorders>
              <w:top w:val="nil"/>
              <w:left w:val="nil"/>
              <w:bottom w:val="single" w:color="auto" w:sz="4" w:space="0"/>
              <w:right w:val="single" w:color="auto" w:sz="4" w:space="0"/>
            </w:tcBorders>
            <w:shd w:val="clear" w:color="auto" w:fill="auto"/>
            <w:noWrap/>
            <w:vAlign w:val="center"/>
          </w:tcPr>
          <w:p>
            <w:pPr>
              <w:widowControl/>
              <w:adjustRightInd w:val="0"/>
              <w:snapToGrid w:val="0"/>
              <w:jc w:val="center"/>
              <w:rPr>
                <w:rFonts w:hint="default" w:ascii="方正书宋_GBK" w:eastAsia="方正书宋_GBK"/>
                <w:kern w:val="0"/>
                <w:szCs w:val="21"/>
                <w:lang w:val="en-US" w:eastAsia="zh-CN"/>
              </w:rPr>
            </w:pPr>
            <w:r>
              <w:rPr>
                <w:rFonts w:hint="eastAsia" w:ascii="方正书宋_GBK" w:eastAsia="方正书宋_GBK"/>
                <w:kern w:val="0"/>
                <w:szCs w:val="21"/>
                <w:lang w:val="en-US" w:eastAsia="zh-CN"/>
              </w:rPr>
              <w:t>393.7</w:t>
            </w:r>
          </w:p>
        </w:tc>
      </w:tr>
      <w:tr>
        <w:tblPrEx>
          <w:tblCellMar>
            <w:top w:w="0" w:type="dxa"/>
            <w:left w:w="108" w:type="dxa"/>
            <w:bottom w:w="0" w:type="dxa"/>
            <w:right w:w="108" w:type="dxa"/>
          </w:tblCellMar>
        </w:tblPrEx>
        <w:trPr>
          <w:trHeight w:val="499" w:hRule="atLeast"/>
        </w:trPr>
        <w:tc>
          <w:tcPr>
            <w:tcW w:w="3789" w:type="dxa"/>
            <w:tcBorders>
              <w:top w:val="nil"/>
              <w:left w:val="single" w:color="auto" w:sz="4" w:space="0"/>
              <w:bottom w:val="single" w:color="auto" w:sz="4" w:space="0"/>
              <w:right w:val="single" w:color="auto" w:sz="4" w:space="0"/>
            </w:tcBorders>
            <w:shd w:val="clear" w:color="auto" w:fill="auto"/>
            <w:noWrap/>
            <w:vAlign w:val="center"/>
          </w:tcPr>
          <w:p>
            <w:pPr>
              <w:widowControl/>
              <w:adjustRightInd w:val="0"/>
              <w:snapToGrid w:val="0"/>
              <w:jc w:val="left"/>
              <w:rPr>
                <w:rFonts w:ascii="方正书宋_GBK" w:hAnsi="宋体" w:eastAsia="方正书宋_GBK" w:cs="宋体"/>
                <w:kern w:val="0"/>
                <w:szCs w:val="21"/>
              </w:rPr>
            </w:pPr>
            <w:r>
              <w:rPr>
                <w:rFonts w:hint="eastAsia" w:ascii="方正书宋_GBK" w:hAnsi="宋体" w:eastAsia="方正书宋_GBK" w:cs="宋体"/>
                <w:kern w:val="0"/>
                <w:szCs w:val="21"/>
              </w:rPr>
              <w:t>1、房屋（平方米）</w:t>
            </w:r>
          </w:p>
        </w:tc>
        <w:tc>
          <w:tcPr>
            <w:tcW w:w="2289" w:type="dxa"/>
            <w:tcBorders>
              <w:top w:val="nil"/>
              <w:left w:val="nil"/>
              <w:bottom w:val="single" w:color="auto" w:sz="4" w:space="0"/>
              <w:right w:val="single" w:color="auto" w:sz="4" w:space="0"/>
            </w:tcBorders>
            <w:shd w:val="clear" w:color="auto" w:fill="auto"/>
            <w:noWrap/>
            <w:vAlign w:val="center"/>
          </w:tcPr>
          <w:p>
            <w:pPr>
              <w:adjustRightInd w:val="0"/>
              <w:snapToGrid w:val="0"/>
              <w:jc w:val="center"/>
              <w:rPr>
                <w:rFonts w:ascii="方正书宋_GBK" w:eastAsia="方正书宋_GBK"/>
                <w:szCs w:val="21"/>
              </w:rPr>
            </w:pPr>
          </w:p>
        </w:tc>
        <w:tc>
          <w:tcPr>
            <w:tcW w:w="3701" w:type="dxa"/>
            <w:tcBorders>
              <w:top w:val="nil"/>
              <w:left w:val="nil"/>
              <w:bottom w:val="single" w:color="auto" w:sz="4" w:space="0"/>
              <w:right w:val="single" w:color="auto" w:sz="4" w:space="0"/>
            </w:tcBorders>
            <w:shd w:val="clear" w:color="auto" w:fill="auto"/>
            <w:noWrap/>
            <w:vAlign w:val="center"/>
          </w:tcPr>
          <w:p>
            <w:pPr>
              <w:adjustRightInd w:val="0"/>
              <w:snapToGrid w:val="0"/>
              <w:jc w:val="center"/>
              <w:rPr>
                <w:rFonts w:ascii="方正书宋_GBK" w:eastAsia="方正书宋_GBK"/>
                <w:b/>
                <w:szCs w:val="21"/>
              </w:rPr>
            </w:pPr>
          </w:p>
        </w:tc>
      </w:tr>
      <w:tr>
        <w:tblPrEx>
          <w:tblCellMar>
            <w:top w:w="0" w:type="dxa"/>
            <w:left w:w="108" w:type="dxa"/>
            <w:bottom w:w="0" w:type="dxa"/>
            <w:right w:w="108" w:type="dxa"/>
          </w:tblCellMar>
        </w:tblPrEx>
        <w:trPr>
          <w:trHeight w:val="499" w:hRule="atLeast"/>
        </w:trPr>
        <w:tc>
          <w:tcPr>
            <w:tcW w:w="3789" w:type="dxa"/>
            <w:tcBorders>
              <w:top w:val="nil"/>
              <w:left w:val="single" w:color="auto" w:sz="4" w:space="0"/>
              <w:bottom w:val="single" w:color="auto" w:sz="4" w:space="0"/>
              <w:right w:val="single" w:color="auto" w:sz="4" w:space="0"/>
            </w:tcBorders>
            <w:shd w:val="clear" w:color="auto" w:fill="auto"/>
            <w:noWrap/>
            <w:vAlign w:val="center"/>
          </w:tcPr>
          <w:p>
            <w:pPr>
              <w:widowControl/>
              <w:adjustRightInd w:val="0"/>
              <w:snapToGrid w:val="0"/>
              <w:jc w:val="left"/>
              <w:rPr>
                <w:rFonts w:ascii="方正书宋_GBK" w:hAnsi="宋体" w:eastAsia="方正书宋_GBK" w:cs="宋体"/>
                <w:kern w:val="0"/>
                <w:szCs w:val="21"/>
              </w:rPr>
            </w:pPr>
            <w:r>
              <w:rPr>
                <w:rFonts w:hint="eastAsia" w:ascii="方正书宋_GBK" w:hAnsi="宋体" w:eastAsia="方正书宋_GBK" w:cs="宋体"/>
                <w:kern w:val="0"/>
                <w:szCs w:val="21"/>
              </w:rPr>
              <w:t xml:space="preserve">   其中：办公用房（平方米）</w:t>
            </w:r>
          </w:p>
        </w:tc>
        <w:tc>
          <w:tcPr>
            <w:tcW w:w="2289" w:type="dxa"/>
            <w:tcBorders>
              <w:top w:val="nil"/>
              <w:left w:val="nil"/>
              <w:bottom w:val="single" w:color="auto" w:sz="4" w:space="0"/>
              <w:right w:val="single" w:color="auto" w:sz="4" w:space="0"/>
            </w:tcBorders>
            <w:shd w:val="clear" w:color="auto" w:fill="auto"/>
            <w:noWrap/>
            <w:vAlign w:val="center"/>
          </w:tcPr>
          <w:p>
            <w:pPr>
              <w:adjustRightInd w:val="0"/>
              <w:snapToGrid w:val="0"/>
              <w:jc w:val="center"/>
              <w:rPr>
                <w:rFonts w:ascii="方正书宋_GBK" w:eastAsia="方正书宋_GBK"/>
                <w:szCs w:val="21"/>
              </w:rPr>
            </w:pPr>
          </w:p>
        </w:tc>
        <w:tc>
          <w:tcPr>
            <w:tcW w:w="3701" w:type="dxa"/>
            <w:tcBorders>
              <w:top w:val="nil"/>
              <w:left w:val="nil"/>
              <w:bottom w:val="single" w:color="auto" w:sz="4" w:space="0"/>
              <w:right w:val="single" w:color="auto" w:sz="4" w:space="0"/>
            </w:tcBorders>
            <w:shd w:val="clear" w:color="auto" w:fill="auto"/>
            <w:noWrap/>
            <w:vAlign w:val="center"/>
          </w:tcPr>
          <w:p>
            <w:pPr>
              <w:adjustRightInd w:val="0"/>
              <w:snapToGrid w:val="0"/>
              <w:jc w:val="center"/>
              <w:rPr>
                <w:rFonts w:ascii="方正书宋_GBK" w:eastAsia="方正书宋_GBK"/>
                <w:szCs w:val="21"/>
              </w:rPr>
            </w:pPr>
          </w:p>
        </w:tc>
      </w:tr>
      <w:tr>
        <w:tblPrEx>
          <w:tblCellMar>
            <w:top w:w="0" w:type="dxa"/>
            <w:left w:w="108" w:type="dxa"/>
            <w:bottom w:w="0" w:type="dxa"/>
            <w:right w:w="108" w:type="dxa"/>
          </w:tblCellMar>
        </w:tblPrEx>
        <w:trPr>
          <w:trHeight w:val="499" w:hRule="atLeast"/>
        </w:trPr>
        <w:tc>
          <w:tcPr>
            <w:tcW w:w="3789" w:type="dxa"/>
            <w:tcBorders>
              <w:top w:val="nil"/>
              <w:left w:val="single" w:color="auto" w:sz="4" w:space="0"/>
              <w:bottom w:val="single" w:color="auto" w:sz="4" w:space="0"/>
              <w:right w:val="single" w:color="auto" w:sz="4" w:space="0"/>
            </w:tcBorders>
            <w:shd w:val="clear" w:color="auto" w:fill="auto"/>
            <w:noWrap/>
            <w:vAlign w:val="center"/>
          </w:tcPr>
          <w:p>
            <w:pPr>
              <w:widowControl/>
              <w:adjustRightInd w:val="0"/>
              <w:snapToGrid w:val="0"/>
              <w:jc w:val="left"/>
              <w:rPr>
                <w:rFonts w:ascii="方正书宋_GBK" w:hAnsi="宋体" w:eastAsia="方正书宋_GBK" w:cs="宋体"/>
                <w:kern w:val="0"/>
                <w:szCs w:val="21"/>
              </w:rPr>
            </w:pPr>
            <w:r>
              <w:rPr>
                <w:rFonts w:hint="eastAsia" w:ascii="方正书宋_GBK" w:hAnsi="宋体" w:eastAsia="方正书宋_GBK" w:cs="宋体"/>
                <w:kern w:val="0"/>
                <w:szCs w:val="21"/>
              </w:rPr>
              <w:t>2、车辆（台、辆）</w:t>
            </w:r>
          </w:p>
        </w:tc>
        <w:tc>
          <w:tcPr>
            <w:tcW w:w="2289" w:type="dxa"/>
            <w:tcBorders>
              <w:top w:val="nil"/>
              <w:left w:val="nil"/>
              <w:bottom w:val="single" w:color="auto" w:sz="4" w:space="0"/>
              <w:right w:val="single" w:color="auto" w:sz="4" w:space="0"/>
            </w:tcBorders>
            <w:shd w:val="clear" w:color="auto" w:fill="auto"/>
            <w:noWrap/>
            <w:vAlign w:val="center"/>
          </w:tcPr>
          <w:p>
            <w:pPr>
              <w:adjustRightInd w:val="0"/>
              <w:snapToGrid w:val="0"/>
              <w:jc w:val="center"/>
              <w:rPr>
                <w:rFonts w:hint="default" w:ascii="方正书宋_GBK" w:eastAsia="方正书宋_GBK"/>
                <w:szCs w:val="21"/>
                <w:lang w:val="en-US" w:eastAsia="zh-CN"/>
              </w:rPr>
            </w:pPr>
            <w:r>
              <w:rPr>
                <w:rFonts w:hint="eastAsia" w:ascii="方正书宋_GBK" w:eastAsia="方正书宋_GBK"/>
                <w:szCs w:val="21"/>
                <w:lang w:val="en-US" w:eastAsia="zh-CN"/>
              </w:rPr>
              <w:t>12</w:t>
            </w:r>
          </w:p>
        </w:tc>
        <w:tc>
          <w:tcPr>
            <w:tcW w:w="3701" w:type="dxa"/>
            <w:tcBorders>
              <w:top w:val="nil"/>
              <w:left w:val="nil"/>
              <w:bottom w:val="single" w:color="auto" w:sz="4" w:space="0"/>
              <w:right w:val="single" w:color="auto" w:sz="4" w:space="0"/>
            </w:tcBorders>
            <w:shd w:val="clear" w:color="auto" w:fill="auto"/>
            <w:noWrap/>
            <w:vAlign w:val="center"/>
          </w:tcPr>
          <w:p>
            <w:pPr>
              <w:adjustRightInd w:val="0"/>
              <w:snapToGrid w:val="0"/>
              <w:jc w:val="center"/>
              <w:rPr>
                <w:rFonts w:hint="default" w:ascii="方正书宋_GBK" w:eastAsia="方正书宋_GBK"/>
                <w:szCs w:val="21"/>
                <w:lang w:val="en-US" w:eastAsia="zh-CN"/>
              </w:rPr>
            </w:pPr>
            <w:r>
              <w:rPr>
                <w:rFonts w:hint="eastAsia" w:ascii="方正书宋_GBK" w:eastAsia="方正书宋_GBK"/>
                <w:szCs w:val="21"/>
                <w:lang w:val="en-US" w:eastAsia="zh-CN"/>
              </w:rPr>
              <w:t>117.01</w:t>
            </w:r>
          </w:p>
        </w:tc>
      </w:tr>
      <w:tr>
        <w:tblPrEx>
          <w:tblCellMar>
            <w:top w:w="0" w:type="dxa"/>
            <w:left w:w="108" w:type="dxa"/>
            <w:bottom w:w="0" w:type="dxa"/>
            <w:right w:w="108" w:type="dxa"/>
          </w:tblCellMar>
        </w:tblPrEx>
        <w:trPr>
          <w:trHeight w:val="499" w:hRule="atLeast"/>
        </w:trPr>
        <w:tc>
          <w:tcPr>
            <w:tcW w:w="3789" w:type="dxa"/>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left"/>
              <w:rPr>
                <w:rFonts w:ascii="方正书宋_GBK" w:hAnsi="宋体" w:eastAsia="方正书宋_GBK" w:cs="宋体"/>
                <w:kern w:val="0"/>
                <w:szCs w:val="21"/>
              </w:rPr>
            </w:pPr>
            <w:r>
              <w:rPr>
                <w:rFonts w:hint="eastAsia" w:ascii="方正书宋_GBK" w:hAnsi="宋体" w:eastAsia="方正书宋_GBK" w:cs="宋体"/>
                <w:kern w:val="0"/>
                <w:szCs w:val="21"/>
              </w:rPr>
              <w:t>3、单价在20万元以上的设备</w:t>
            </w:r>
          </w:p>
        </w:tc>
        <w:tc>
          <w:tcPr>
            <w:tcW w:w="2289" w:type="dxa"/>
            <w:tcBorders>
              <w:top w:val="nil"/>
              <w:left w:val="nil"/>
              <w:bottom w:val="single" w:color="auto" w:sz="4" w:space="0"/>
              <w:right w:val="single" w:color="auto" w:sz="4" w:space="0"/>
            </w:tcBorders>
            <w:shd w:val="clear" w:color="auto" w:fill="auto"/>
            <w:noWrap/>
            <w:vAlign w:val="center"/>
          </w:tcPr>
          <w:p>
            <w:pPr>
              <w:adjustRightInd w:val="0"/>
              <w:snapToGrid w:val="0"/>
              <w:jc w:val="center"/>
              <w:rPr>
                <w:rFonts w:ascii="方正书宋_GBK" w:eastAsia="方正书宋_GBK"/>
                <w:szCs w:val="21"/>
              </w:rPr>
            </w:pPr>
          </w:p>
        </w:tc>
        <w:tc>
          <w:tcPr>
            <w:tcW w:w="3701" w:type="dxa"/>
            <w:tcBorders>
              <w:top w:val="nil"/>
              <w:left w:val="nil"/>
              <w:bottom w:val="single" w:color="auto" w:sz="4" w:space="0"/>
              <w:right w:val="single" w:color="auto" w:sz="4" w:space="0"/>
            </w:tcBorders>
            <w:shd w:val="clear" w:color="auto" w:fill="auto"/>
            <w:noWrap/>
            <w:vAlign w:val="center"/>
          </w:tcPr>
          <w:p>
            <w:pPr>
              <w:adjustRightInd w:val="0"/>
              <w:snapToGrid w:val="0"/>
              <w:jc w:val="center"/>
              <w:rPr>
                <w:rFonts w:ascii="方正书宋_GBK" w:eastAsia="方正书宋_GBK"/>
                <w:szCs w:val="21"/>
              </w:rPr>
            </w:pPr>
          </w:p>
        </w:tc>
      </w:tr>
      <w:tr>
        <w:tblPrEx>
          <w:tblCellMar>
            <w:top w:w="0" w:type="dxa"/>
            <w:left w:w="108" w:type="dxa"/>
            <w:bottom w:w="0" w:type="dxa"/>
            <w:right w:w="108" w:type="dxa"/>
          </w:tblCellMar>
        </w:tblPrEx>
        <w:trPr>
          <w:trHeight w:val="520" w:hRule="atLeast"/>
        </w:trPr>
        <w:tc>
          <w:tcPr>
            <w:tcW w:w="3789" w:type="dxa"/>
            <w:tcBorders>
              <w:top w:val="nil"/>
              <w:left w:val="single" w:color="auto" w:sz="4" w:space="0"/>
              <w:bottom w:val="single" w:color="auto" w:sz="4" w:space="0"/>
              <w:right w:val="single" w:color="auto" w:sz="4" w:space="0"/>
            </w:tcBorders>
            <w:shd w:val="clear" w:color="auto" w:fill="auto"/>
            <w:noWrap/>
            <w:vAlign w:val="center"/>
          </w:tcPr>
          <w:p>
            <w:pPr>
              <w:widowControl/>
              <w:adjustRightInd w:val="0"/>
              <w:snapToGrid w:val="0"/>
              <w:jc w:val="left"/>
              <w:rPr>
                <w:rFonts w:ascii="方正书宋_GBK" w:hAnsi="宋体" w:eastAsia="方正书宋_GBK" w:cs="宋体"/>
                <w:kern w:val="0"/>
                <w:szCs w:val="21"/>
              </w:rPr>
            </w:pPr>
            <w:r>
              <w:rPr>
                <w:rFonts w:hint="eastAsia" w:ascii="方正书宋_GBK" w:hAnsi="宋体" w:eastAsia="方正书宋_GBK" w:cs="宋体"/>
                <w:kern w:val="0"/>
                <w:szCs w:val="21"/>
              </w:rPr>
              <w:t>4、其他固定资产</w:t>
            </w:r>
          </w:p>
        </w:tc>
        <w:tc>
          <w:tcPr>
            <w:tcW w:w="2289" w:type="dxa"/>
            <w:tcBorders>
              <w:top w:val="nil"/>
              <w:left w:val="nil"/>
              <w:bottom w:val="single" w:color="auto" w:sz="4" w:space="0"/>
              <w:right w:val="single" w:color="auto" w:sz="4" w:space="0"/>
            </w:tcBorders>
            <w:shd w:val="clear" w:color="auto" w:fill="auto"/>
            <w:noWrap/>
            <w:vAlign w:val="center"/>
          </w:tcPr>
          <w:p>
            <w:pPr>
              <w:adjustRightInd w:val="0"/>
              <w:snapToGrid w:val="0"/>
              <w:jc w:val="center"/>
              <w:rPr>
                <w:rFonts w:hint="default" w:ascii="方正书宋_GBK" w:eastAsia="方正书宋_GBK"/>
                <w:szCs w:val="21"/>
                <w:lang w:val="en-US" w:eastAsia="zh-CN"/>
              </w:rPr>
            </w:pPr>
            <w:r>
              <w:rPr>
                <w:rFonts w:hint="eastAsia" w:ascii="方正书宋_GBK" w:eastAsia="方正书宋_GBK"/>
                <w:szCs w:val="21"/>
                <w:lang w:val="en-US" w:eastAsia="zh-CN"/>
              </w:rPr>
              <w:t>1531</w:t>
            </w:r>
          </w:p>
        </w:tc>
        <w:tc>
          <w:tcPr>
            <w:tcW w:w="3701" w:type="dxa"/>
            <w:tcBorders>
              <w:top w:val="nil"/>
              <w:left w:val="nil"/>
              <w:bottom w:val="single" w:color="auto" w:sz="4" w:space="0"/>
              <w:right w:val="single" w:color="auto" w:sz="4" w:space="0"/>
            </w:tcBorders>
            <w:shd w:val="clear" w:color="auto" w:fill="auto"/>
            <w:noWrap/>
            <w:vAlign w:val="center"/>
          </w:tcPr>
          <w:p>
            <w:pPr>
              <w:adjustRightInd w:val="0"/>
              <w:snapToGrid w:val="0"/>
              <w:jc w:val="center"/>
              <w:rPr>
                <w:rFonts w:hint="default" w:ascii="方正书宋_GBK" w:eastAsia="方正书宋_GBK"/>
                <w:szCs w:val="21"/>
                <w:lang w:val="en-US" w:eastAsia="zh-CN"/>
              </w:rPr>
            </w:pPr>
            <w:r>
              <w:rPr>
                <w:rFonts w:hint="eastAsia" w:ascii="方正书宋_GBK" w:eastAsia="方正书宋_GBK"/>
                <w:szCs w:val="21"/>
                <w:lang w:val="en-US" w:eastAsia="zh-CN"/>
              </w:rPr>
              <w:t>276.69</w:t>
            </w:r>
          </w:p>
        </w:tc>
      </w:tr>
    </w:tbl>
    <w:p>
      <w:pPr>
        <w:widowControl/>
        <w:shd w:val="clear" w:color="auto" w:fill="FFFFFF"/>
        <w:spacing w:line="580" w:lineRule="exact"/>
        <w:ind w:firstLine="640" w:firstLineChars="200"/>
        <w:jc w:val="left"/>
        <w:rPr>
          <w:rFonts w:hint="eastAsia" w:ascii="仿宋_GB2312" w:hAnsi="Times New Roman" w:eastAsia="仿宋_GB2312"/>
          <w:kern w:val="0"/>
          <w:sz w:val="32"/>
          <w:szCs w:val="32"/>
        </w:rPr>
      </w:pPr>
    </w:p>
    <w:p>
      <w:pPr>
        <w:widowControl/>
        <w:shd w:val="clear" w:color="auto" w:fill="FFFFFF"/>
        <w:spacing w:line="580" w:lineRule="exact"/>
        <w:ind w:firstLine="640" w:firstLineChars="200"/>
        <w:jc w:val="left"/>
        <w:rPr>
          <w:rFonts w:ascii="宋体" w:hAnsi="宋体" w:cs="宋体"/>
          <w:kern w:val="0"/>
          <w:sz w:val="24"/>
          <w:szCs w:val="24"/>
        </w:rPr>
      </w:pPr>
      <w:r>
        <w:rPr>
          <w:rFonts w:hint="eastAsia" w:ascii="黑体" w:hAnsi="黑体" w:eastAsia="黑体" w:cs="宋体"/>
          <w:kern w:val="0"/>
          <w:sz w:val="32"/>
          <w:szCs w:val="32"/>
        </w:rPr>
        <w:t>八、专业名词解释</w:t>
      </w:r>
    </w:p>
    <w:p>
      <w:pPr>
        <w:ind w:firstLine="643" w:firstLineChars="200"/>
        <w:rPr>
          <w:rFonts w:ascii="仿宋_GB2312" w:hAnsi="Times New Roman" w:eastAsia="仿宋_GB2312"/>
          <w:kern w:val="0"/>
          <w:sz w:val="32"/>
          <w:szCs w:val="32"/>
        </w:rPr>
      </w:pPr>
      <w:r>
        <w:rPr>
          <w:rFonts w:ascii="仿宋_GB2312" w:hAnsi="Times New Roman" w:eastAsia="仿宋_GB2312"/>
          <w:b/>
          <w:kern w:val="0"/>
          <w:sz w:val="32"/>
          <w:szCs w:val="32"/>
        </w:rPr>
        <w:t>财政拨款收入：</w:t>
      </w:r>
      <w:r>
        <w:rPr>
          <w:rFonts w:ascii="仿宋_GB2312" w:hAnsi="Times New Roman" w:eastAsia="仿宋_GB2312"/>
          <w:kern w:val="0"/>
          <w:sz w:val="32"/>
          <w:szCs w:val="32"/>
        </w:rPr>
        <w:t>本年度从本级财政部门取得的财政拨 款，包括一般公共预算财政拨款和政府性基金预算财政拨款。</w:t>
      </w:r>
    </w:p>
    <w:p>
      <w:pPr>
        <w:ind w:firstLine="643" w:firstLineChars="200"/>
        <w:rPr>
          <w:rFonts w:ascii="仿宋_GB2312" w:hAnsi="Times New Roman" w:eastAsia="仿宋_GB2312"/>
          <w:kern w:val="0"/>
          <w:sz w:val="32"/>
          <w:szCs w:val="32"/>
        </w:rPr>
      </w:pPr>
      <w:r>
        <w:rPr>
          <w:rFonts w:ascii="仿宋_GB2312" w:hAnsi="Times New Roman" w:eastAsia="仿宋_GB2312"/>
          <w:b/>
          <w:kern w:val="0"/>
          <w:sz w:val="32"/>
          <w:szCs w:val="32"/>
        </w:rPr>
        <w:t>机关运行经费：</w:t>
      </w:r>
      <w:r>
        <w:rPr>
          <w:rFonts w:ascii="仿宋_GB2312" w:hAnsi="Times New Roman" w:eastAsia="仿宋_GB2312"/>
          <w:kern w:val="0"/>
          <w:sz w:val="32"/>
          <w:szCs w:val="32"/>
        </w:rPr>
        <w:t>指为保障行政单位（包括参照公务 员法管理的事业单位）运行用于购买货物和服务的各项资金，包 括办公及印刷费、邮电费、差旅费、会议费、福利费、日常维修 费、专用材料以及一般设备购置费、办公用房水电费、办公用房 取暖费、办公用房物业管理费、公务用车运行维护费以及其他费用。</w:t>
      </w:r>
    </w:p>
    <w:p>
      <w:pPr>
        <w:ind w:firstLine="643" w:firstLineChars="200"/>
        <w:rPr>
          <w:rFonts w:ascii="仿宋_GB2312" w:hAnsi="Times New Roman" w:eastAsia="仿宋_GB2312"/>
          <w:kern w:val="0"/>
          <w:sz w:val="32"/>
          <w:szCs w:val="32"/>
        </w:rPr>
      </w:pPr>
      <w:r>
        <w:rPr>
          <w:rFonts w:ascii="仿宋_GB2312" w:hAnsi="Times New Roman" w:eastAsia="仿宋_GB2312"/>
          <w:b/>
          <w:kern w:val="0"/>
          <w:sz w:val="32"/>
          <w:szCs w:val="32"/>
        </w:rPr>
        <w:t>“三公”经费：</w:t>
      </w:r>
      <w:r>
        <w:rPr>
          <w:rFonts w:ascii="仿宋_GB2312" w:hAnsi="Times New Roman" w:eastAsia="仿宋_GB2312"/>
          <w:kern w:val="0"/>
          <w:sz w:val="32"/>
          <w:szCs w:val="32"/>
        </w:rPr>
        <w:t>指部门用财政拨款安排的因公出国 （境）费、公务用车购置及运行费和公务接待费。其中，因公出 国（境）费反映单位公务出国（境）的国际旅费、国外城市间交 通费、住宿费、伙食费、培训费、公杂费等支出；公务用车购置 及运行费反映单位公务用车购置支出（含车辆购置税）及租用费、 燃料费、维修费、过路过桥费、保险费、安全奖励费用等支出； 公务接待费反映单位按规定开支的各类公务接待（含外宾接待） 支出</w:t>
      </w:r>
      <w:r>
        <w:rPr>
          <w:rFonts w:hint="eastAsia" w:ascii="仿宋_GB2312" w:hAnsi="Times New Roman" w:eastAsia="仿宋_GB2312"/>
          <w:kern w:val="0"/>
          <w:sz w:val="32"/>
          <w:szCs w:val="32"/>
        </w:rPr>
        <w:t>。</w:t>
      </w:r>
    </w:p>
    <w:p>
      <w:pPr>
        <w:ind w:firstLine="643" w:firstLineChars="200"/>
        <w:rPr>
          <w:rFonts w:ascii="仿宋_GB2312" w:hAnsi="Times New Roman" w:eastAsia="仿宋_GB2312"/>
          <w:kern w:val="0"/>
          <w:sz w:val="32"/>
          <w:szCs w:val="32"/>
        </w:rPr>
      </w:pPr>
      <w:r>
        <w:rPr>
          <w:rFonts w:ascii="仿宋_GB2312" w:hAnsi="Times New Roman" w:eastAsia="仿宋_GB2312"/>
          <w:b/>
          <w:kern w:val="0"/>
          <w:sz w:val="32"/>
          <w:szCs w:val="32"/>
        </w:rPr>
        <w:t>公务用车购置</w:t>
      </w:r>
      <w:r>
        <w:rPr>
          <w:rFonts w:ascii="仿宋_GB2312" w:hAnsi="Times New Roman" w:eastAsia="仿宋_GB2312"/>
          <w:kern w:val="0"/>
          <w:sz w:val="32"/>
          <w:szCs w:val="32"/>
        </w:rPr>
        <w:t>：填列单位公务用车购置支出（含车 辆购置税、牌照费）。</w:t>
      </w:r>
    </w:p>
    <w:p>
      <w:pPr>
        <w:widowControl/>
        <w:shd w:val="clear" w:color="auto" w:fill="FFFFFF"/>
        <w:spacing w:line="580" w:lineRule="exact"/>
        <w:ind w:firstLine="640" w:firstLineChars="200"/>
        <w:jc w:val="left"/>
        <w:rPr>
          <w:rFonts w:ascii="宋体" w:hAnsi="宋体" w:cs="宋体"/>
          <w:kern w:val="0"/>
          <w:sz w:val="24"/>
          <w:szCs w:val="24"/>
        </w:rPr>
      </w:pPr>
      <w:r>
        <w:rPr>
          <w:rFonts w:hint="eastAsia" w:ascii="黑体" w:hAnsi="黑体" w:eastAsia="黑体" w:cs="宋体"/>
          <w:kern w:val="0"/>
          <w:sz w:val="32"/>
          <w:szCs w:val="32"/>
        </w:rPr>
        <w:t>九、其他需说明的事项</w:t>
      </w:r>
    </w:p>
    <w:p>
      <w:pPr>
        <w:widowControl/>
        <w:shd w:val="clear" w:color="auto" w:fill="FFFFFF"/>
        <w:spacing w:line="580" w:lineRule="exact"/>
        <w:ind w:firstLine="640" w:firstLineChars="200"/>
        <w:jc w:val="left"/>
        <w:rPr>
          <w:rFonts w:ascii="仿宋_GB2312" w:hAnsi="Times New Roman" w:eastAsia="仿宋_GB2312"/>
          <w:kern w:val="0"/>
          <w:sz w:val="32"/>
          <w:szCs w:val="32"/>
        </w:rPr>
      </w:pPr>
      <w:r>
        <w:rPr>
          <w:rFonts w:hint="eastAsia" w:ascii="仿宋_GB2312" w:hAnsi="Times New Roman" w:eastAsia="仿宋_GB2312"/>
          <w:kern w:val="0"/>
          <w:sz w:val="32"/>
          <w:szCs w:val="32"/>
        </w:rPr>
        <w:t>本部门无政府基金预算、国有资本经营预算，故07.08表空表列示。</w:t>
      </w:r>
    </w:p>
    <w:p>
      <w:pPr>
        <w:widowControl/>
        <w:spacing w:line="580" w:lineRule="atLeast"/>
        <w:ind w:firstLine="640"/>
        <w:jc w:val="left"/>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仿宋_GBK">
    <w:altName w:val="Arial Unicode MS"/>
    <w:panose1 w:val="00000000000000000000"/>
    <w:charset w:val="86"/>
    <w:family w:val="script"/>
    <w:pitch w:val="default"/>
    <w:sig w:usb0="00000000" w:usb1="00000000" w:usb2="00000010" w:usb3="00000000" w:csb0="00040000" w:csb1="00000000"/>
  </w:font>
  <w:font w:name="方正小标宋_GBK">
    <w:altName w:val="Arial Unicode MS"/>
    <w:panose1 w:val="00000000000000000000"/>
    <w:charset w:val="86"/>
    <w:family w:val="script"/>
    <w:pitch w:val="default"/>
    <w:sig w:usb0="00000000" w:usb1="00000000" w:usb2="00000010" w:usb3="00000000" w:csb0="00040000" w:csb1="00000000"/>
  </w:font>
  <w:font w:name="方正书宋_GBK">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方正仿宋_GBK">
    <w:altName w:val="Arial Unicode MS"/>
    <w:panose1 w:val="00000000000000000000"/>
    <w:charset w:val="00"/>
    <w:family w:val="auto"/>
    <w:pitch w:val="default"/>
    <w:sig w:usb0="00000000" w:usb1="00000000" w:usb2="00000000" w:usb3="00000000" w:csb0="00000000" w:csb1="00000000"/>
  </w:font>
  <w:font w:name="方正小标宋简体">
    <w:panose1 w:val="03000509000000000000"/>
    <w:charset w:val="86"/>
    <w:family w:val="auto"/>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6667C0"/>
    <w:rsid w:val="00060EC7"/>
    <w:rsid w:val="00086C7E"/>
    <w:rsid w:val="000F3A91"/>
    <w:rsid w:val="00202A36"/>
    <w:rsid w:val="00212AB5"/>
    <w:rsid w:val="00232502"/>
    <w:rsid w:val="002701EE"/>
    <w:rsid w:val="002A7B6A"/>
    <w:rsid w:val="002C6725"/>
    <w:rsid w:val="00381E5F"/>
    <w:rsid w:val="00462846"/>
    <w:rsid w:val="004B6710"/>
    <w:rsid w:val="00556013"/>
    <w:rsid w:val="005A014E"/>
    <w:rsid w:val="005E0533"/>
    <w:rsid w:val="006667C0"/>
    <w:rsid w:val="006E27D7"/>
    <w:rsid w:val="00732991"/>
    <w:rsid w:val="007A53CC"/>
    <w:rsid w:val="00856D5E"/>
    <w:rsid w:val="00875CC7"/>
    <w:rsid w:val="009830D7"/>
    <w:rsid w:val="00B02E85"/>
    <w:rsid w:val="00B9630C"/>
    <w:rsid w:val="00C37481"/>
    <w:rsid w:val="00C70B56"/>
    <w:rsid w:val="00CF179C"/>
    <w:rsid w:val="00CF605B"/>
    <w:rsid w:val="00D8145C"/>
    <w:rsid w:val="00D87E24"/>
    <w:rsid w:val="00E50F76"/>
    <w:rsid w:val="00E5450C"/>
    <w:rsid w:val="00EA60A4"/>
    <w:rsid w:val="00EE3631"/>
    <w:rsid w:val="00F74CCB"/>
    <w:rsid w:val="099768EC"/>
    <w:rsid w:val="0BCF54D3"/>
    <w:rsid w:val="10CC717B"/>
    <w:rsid w:val="14404205"/>
    <w:rsid w:val="1FD84FD8"/>
    <w:rsid w:val="245547A5"/>
    <w:rsid w:val="255558F9"/>
    <w:rsid w:val="2580582A"/>
    <w:rsid w:val="27146DAB"/>
    <w:rsid w:val="29081A85"/>
    <w:rsid w:val="37FE0800"/>
    <w:rsid w:val="38CF2D8B"/>
    <w:rsid w:val="3B154121"/>
    <w:rsid w:val="3DD0274E"/>
    <w:rsid w:val="3F245E6A"/>
    <w:rsid w:val="41073BAB"/>
    <w:rsid w:val="42E31A84"/>
    <w:rsid w:val="451122D9"/>
    <w:rsid w:val="454D453C"/>
    <w:rsid w:val="46216464"/>
    <w:rsid w:val="4A77752D"/>
    <w:rsid w:val="51AD5AE2"/>
    <w:rsid w:val="52967C2D"/>
    <w:rsid w:val="54F060D7"/>
    <w:rsid w:val="57E240F8"/>
    <w:rsid w:val="6A10238D"/>
    <w:rsid w:val="73D70894"/>
    <w:rsid w:val="76F105C6"/>
    <w:rsid w:val="7FFC5BC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Normal (Web)"/>
    <w:basedOn w:val="1"/>
    <w:semiHidden/>
    <w:unhideWhenUsed/>
    <w:qFormat/>
    <w:uiPriority w:val="99"/>
    <w:rPr>
      <w:rFonts w:ascii="Times New Roman" w:hAnsi="Times New Roman"/>
      <w:sz w:val="24"/>
      <w:szCs w:val="24"/>
    </w:rPr>
  </w:style>
  <w:style w:type="table" w:styleId="6">
    <w:name w:val="Table Grid"/>
    <w:basedOn w:val="5"/>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Strong"/>
    <w:basedOn w:val="7"/>
    <w:qFormat/>
    <w:uiPriority w:val="22"/>
    <w:rPr>
      <w:b/>
      <w:bCs/>
    </w:rPr>
  </w:style>
  <w:style w:type="character" w:customStyle="1" w:styleId="9">
    <w:name w:val="页眉 Char"/>
    <w:basedOn w:val="7"/>
    <w:link w:val="3"/>
    <w:qFormat/>
    <w:uiPriority w:val="99"/>
    <w:rPr>
      <w:sz w:val="18"/>
      <w:szCs w:val="18"/>
    </w:rPr>
  </w:style>
  <w:style w:type="character" w:customStyle="1" w:styleId="10">
    <w:name w:val="页脚 Char"/>
    <w:basedOn w:val="7"/>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528</Words>
  <Characters>3016</Characters>
  <Lines>25</Lines>
  <Paragraphs>7</Paragraphs>
  <TotalTime>39</TotalTime>
  <ScaleCrop>false</ScaleCrop>
  <LinksUpToDate>false</LinksUpToDate>
  <CharactersWithSpaces>3537</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2020-03-12T00:56:00Z</dcterms:created>
  <dc:creator>Administrator</dc:creator>
  <cp:lastModifiedBy>Rugrats</cp:lastModifiedBy>
  <dcterms:modified xsi:type="dcterms:W3CDTF">2021-05-17T03:19:59Z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